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DF0A5">
      <w:pPr>
        <w:pStyle w:val="2"/>
        <w:spacing w:line="304" w:lineRule="auto"/>
        <w:rPr>
          <w:sz w:val="21"/>
        </w:rPr>
      </w:pPr>
    </w:p>
    <w:p w14:paraId="0E9E728C">
      <w:pPr>
        <w:pStyle w:val="2"/>
        <w:spacing w:line="304" w:lineRule="auto"/>
        <w:rPr>
          <w:sz w:val="21"/>
        </w:rPr>
      </w:pPr>
    </w:p>
    <w:p w14:paraId="6124A8D9">
      <w:pPr>
        <w:pStyle w:val="2"/>
        <w:spacing w:line="304" w:lineRule="auto"/>
        <w:rPr>
          <w:sz w:val="21"/>
        </w:rPr>
      </w:pPr>
    </w:p>
    <w:p w14:paraId="78E00150">
      <w:pPr>
        <w:spacing w:line="198" w:lineRule="exact"/>
        <w:ind w:firstLine="1165"/>
      </w:pPr>
    </w:p>
    <w:p w14:paraId="3A0E75E1">
      <w:pPr>
        <w:pStyle w:val="2"/>
        <w:spacing w:line="244" w:lineRule="auto"/>
        <w:rPr>
          <w:sz w:val="21"/>
        </w:rPr>
      </w:pPr>
      <w:r>
        <w:drawing>
          <wp:anchor distT="0" distB="0" distL="0" distR="0" simplePos="0" relativeHeight="251659264" behindDoc="0" locked="0" layoutInCell="1" allowOverlap="1">
            <wp:simplePos x="0" y="0"/>
            <wp:positionH relativeFrom="column">
              <wp:posOffset>739775</wp:posOffset>
            </wp:positionH>
            <wp:positionV relativeFrom="paragraph">
              <wp:posOffset>113665</wp:posOffset>
            </wp:positionV>
            <wp:extent cx="5469255"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3"/>
                    <a:stretch>
                      <a:fillRect/>
                    </a:stretch>
                  </pic:blipFill>
                  <pic:spPr>
                    <a:xfrm>
                      <a:off x="0" y="0"/>
                      <a:ext cx="5469255" cy="6350"/>
                    </a:xfrm>
                    <a:prstGeom prst="rect">
                      <a:avLst/>
                    </a:prstGeom>
                  </pic:spPr>
                </pic:pic>
              </a:graphicData>
            </a:graphic>
          </wp:anchor>
        </w:drawing>
      </w:r>
    </w:p>
    <w:p w14:paraId="4E3F496E">
      <w:pPr>
        <w:pStyle w:val="2"/>
        <w:spacing w:line="244" w:lineRule="auto"/>
        <w:rPr>
          <w:sz w:val="21"/>
        </w:rPr>
      </w:pPr>
    </w:p>
    <w:p w14:paraId="58B35CB0">
      <w:pPr>
        <w:pStyle w:val="2"/>
        <w:spacing w:line="245" w:lineRule="auto"/>
        <w:rPr>
          <w:sz w:val="21"/>
        </w:rPr>
      </w:pPr>
    </w:p>
    <w:p w14:paraId="3A9E1510">
      <w:pPr>
        <w:spacing w:before="99" w:line="185" w:lineRule="auto"/>
        <w:jc w:val="center"/>
        <w:outlineLvl w:val="0"/>
        <w:rPr>
          <w:rFonts w:hint="eastAsia" w:ascii="微软雅黑" w:hAnsi="微软雅黑" w:eastAsia="微软雅黑" w:cs="微软雅黑"/>
          <w:sz w:val="23"/>
          <w:szCs w:val="23"/>
          <w:lang w:val="en-US" w:eastAsia="zh-CN"/>
        </w:rPr>
      </w:pPr>
      <w:r>
        <w:rPr>
          <w:rFonts w:hint="eastAsia" w:ascii="微软雅黑" w:hAnsi="微软雅黑" w:eastAsia="微软雅黑" w:cs="微软雅黑"/>
          <w:b/>
          <w:bCs/>
          <w:color w:val="FF0000"/>
          <w:spacing w:val="3"/>
          <w:sz w:val="23"/>
          <w:szCs w:val="23"/>
        </w:rPr>
        <w:t>福建永泰闽投抽水蓄能有限公司</w:t>
      </w:r>
      <w:r>
        <w:rPr>
          <w:rFonts w:ascii="微软雅黑" w:hAnsi="微软雅黑" w:eastAsia="微软雅黑" w:cs="微软雅黑"/>
          <w:b/>
          <w:bCs/>
          <w:color w:val="FF0000"/>
          <w:spacing w:val="3"/>
          <w:sz w:val="23"/>
          <w:szCs w:val="23"/>
        </w:rPr>
        <w:t>一批工程完工剩余电缆转让</w:t>
      </w:r>
      <w:r>
        <w:rPr>
          <w:rFonts w:hint="eastAsia" w:ascii="微软雅黑" w:hAnsi="微软雅黑" w:eastAsia="微软雅黑" w:cs="微软雅黑"/>
          <w:b/>
          <w:bCs/>
          <w:color w:val="FF0000"/>
          <w:spacing w:val="3"/>
          <w:sz w:val="23"/>
          <w:szCs w:val="23"/>
          <w:lang w:val="en-US" w:eastAsia="zh-CN"/>
        </w:rPr>
        <w:t>公告</w:t>
      </w:r>
    </w:p>
    <w:p w14:paraId="13468D20">
      <w:pPr>
        <w:spacing w:line="100" w:lineRule="exact"/>
      </w:pPr>
    </w:p>
    <w:tbl>
      <w:tblPr>
        <w:tblStyle w:val="6"/>
        <w:tblW w:w="8077" w:type="dxa"/>
        <w:tblInd w:w="1437" w:type="dxa"/>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0" w:type="dxa"/>
          <w:bottom w:w="0" w:type="dxa"/>
          <w:right w:w="0" w:type="dxa"/>
        </w:tblCellMar>
      </w:tblPr>
      <w:tblGrid>
        <w:gridCol w:w="1597"/>
        <w:gridCol w:w="3193"/>
        <w:gridCol w:w="1592"/>
        <w:gridCol w:w="1695"/>
      </w:tblGrid>
      <w:tr w14:paraId="623CF755">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31" w:hRule="atLeast"/>
        </w:trPr>
        <w:tc>
          <w:tcPr>
            <w:tcW w:w="1597" w:type="dxa"/>
            <w:vAlign w:val="top"/>
          </w:tcPr>
          <w:p w14:paraId="2E6A4872">
            <w:pPr>
              <w:pStyle w:val="7"/>
              <w:spacing w:before="103" w:line="190" w:lineRule="auto"/>
              <w:ind w:left="77"/>
            </w:pPr>
            <w:r>
              <w:rPr>
                <w:b/>
                <w:bCs/>
                <w:spacing w:val="5"/>
              </w:rPr>
              <w:t>标的名称</w:t>
            </w:r>
          </w:p>
        </w:tc>
        <w:tc>
          <w:tcPr>
            <w:tcW w:w="6480" w:type="dxa"/>
            <w:gridSpan w:val="3"/>
            <w:tcBorders>
              <w:top w:val="single" w:color="DDDDDD" w:sz="2" w:space="0"/>
              <w:bottom w:val="single" w:color="DDDDDD" w:sz="2" w:space="0"/>
              <w:right w:val="single" w:color="DDDDDD" w:sz="2" w:space="0"/>
            </w:tcBorders>
            <w:vAlign w:val="top"/>
          </w:tcPr>
          <w:p w14:paraId="1F0639C3">
            <w:pPr>
              <w:pStyle w:val="7"/>
              <w:spacing w:before="103" w:line="190" w:lineRule="auto"/>
              <w:ind w:left="74"/>
            </w:pPr>
            <w:r>
              <w:rPr>
                <w:spacing w:val="5"/>
              </w:rPr>
              <w:t>一批工程完工剩余电缆转让</w:t>
            </w:r>
          </w:p>
        </w:tc>
      </w:tr>
      <w:tr w14:paraId="792B3649">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7" w:hRule="atLeast"/>
        </w:trPr>
        <w:tc>
          <w:tcPr>
            <w:tcW w:w="1597" w:type="dxa"/>
            <w:vAlign w:val="top"/>
          </w:tcPr>
          <w:p w14:paraId="7BDE8579">
            <w:pPr>
              <w:pStyle w:val="7"/>
              <w:spacing w:before="100" w:line="190" w:lineRule="auto"/>
              <w:ind w:left="77"/>
            </w:pPr>
            <w:r>
              <w:rPr>
                <w:b/>
                <w:bCs/>
                <w:spacing w:val="5"/>
              </w:rPr>
              <w:t>项目编码</w:t>
            </w:r>
          </w:p>
        </w:tc>
        <w:tc>
          <w:tcPr>
            <w:tcW w:w="3193" w:type="dxa"/>
            <w:tcBorders>
              <w:top w:val="single" w:color="DDDDDD" w:sz="2" w:space="0"/>
              <w:bottom w:val="single" w:color="DDDDDD" w:sz="2" w:space="0"/>
              <w:right w:val="single" w:color="DDDDDD" w:sz="2" w:space="0"/>
            </w:tcBorders>
            <w:vAlign w:val="top"/>
          </w:tcPr>
          <w:p w14:paraId="7A91361F">
            <w:pPr>
              <w:pStyle w:val="7"/>
              <w:spacing w:before="109" w:line="180" w:lineRule="auto"/>
              <w:ind w:left="84"/>
            </w:pPr>
            <w:r>
              <w:t>DSCQ</w:t>
            </w:r>
            <w:r>
              <w:rPr>
                <w:spacing w:val="3"/>
              </w:rPr>
              <w:t>202650131467614</w:t>
            </w:r>
          </w:p>
        </w:tc>
        <w:tc>
          <w:tcPr>
            <w:tcW w:w="1592" w:type="dxa"/>
            <w:tcBorders>
              <w:top w:val="single" w:color="DDDDDD" w:sz="2" w:space="0"/>
              <w:left w:val="single" w:color="DDDDDD" w:sz="2" w:space="0"/>
            </w:tcBorders>
            <w:vAlign w:val="top"/>
          </w:tcPr>
          <w:p w14:paraId="6A9B07E1">
            <w:pPr>
              <w:pStyle w:val="7"/>
              <w:spacing w:before="100" w:line="190" w:lineRule="auto"/>
              <w:ind w:left="77"/>
            </w:pPr>
            <w:r>
              <w:rPr>
                <w:b/>
                <w:bCs/>
                <w:spacing w:val="5"/>
              </w:rPr>
              <w:t>挂牌价格</w:t>
            </w:r>
          </w:p>
        </w:tc>
        <w:tc>
          <w:tcPr>
            <w:tcW w:w="1695" w:type="dxa"/>
            <w:tcBorders>
              <w:top w:val="single" w:color="DDDDDD" w:sz="2" w:space="0"/>
              <w:bottom w:val="single" w:color="DDDDDD" w:sz="2" w:space="0"/>
              <w:right w:val="single" w:color="DDDDDD" w:sz="2" w:space="0"/>
            </w:tcBorders>
            <w:vAlign w:val="top"/>
          </w:tcPr>
          <w:p w14:paraId="3D2D8D46">
            <w:pPr>
              <w:pStyle w:val="7"/>
              <w:spacing w:before="77" w:line="235" w:lineRule="auto"/>
              <w:ind w:left="82"/>
            </w:pPr>
            <w:r>
              <w:rPr>
                <w:spacing w:val="2"/>
              </w:rPr>
              <w:t>80 万元</w:t>
            </w:r>
          </w:p>
        </w:tc>
      </w:tr>
      <w:tr w14:paraId="7C24D165">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7" w:hRule="atLeast"/>
        </w:trPr>
        <w:tc>
          <w:tcPr>
            <w:tcW w:w="1597" w:type="dxa"/>
            <w:vAlign w:val="top"/>
          </w:tcPr>
          <w:p w14:paraId="0C021671">
            <w:pPr>
              <w:pStyle w:val="7"/>
              <w:spacing w:before="101" w:line="190" w:lineRule="auto"/>
              <w:ind w:left="77"/>
            </w:pPr>
            <w:r>
              <w:rPr>
                <w:b/>
                <w:bCs/>
                <w:spacing w:val="5"/>
              </w:rPr>
              <w:t>价格说明</w:t>
            </w:r>
          </w:p>
        </w:tc>
        <w:tc>
          <w:tcPr>
            <w:tcW w:w="6480" w:type="dxa"/>
            <w:gridSpan w:val="3"/>
            <w:tcBorders>
              <w:top w:val="single" w:color="DDDDDD" w:sz="2" w:space="0"/>
              <w:bottom w:val="single" w:color="DDDDDD" w:sz="2" w:space="0"/>
              <w:right w:val="single" w:color="DDDDDD" w:sz="2" w:space="0"/>
            </w:tcBorders>
            <w:vAlign w:val="top"/>
          </w:tcPr>
          <w:p w14:paraId="65FA502E">
            <w:pPr>
              <w:pStyle w:val="7"/>
              <w:spacing w:before="101" w:line="190" w:lineRule="auto"/>
              <w:ind w:left="73"/>
            </w:pPr>
            <w:r>
              <w:rPr>
                <w:spacing w:val="2"/>
              </w:rPr>
              <w:t>挂牌价格为含税价。</w:t>
            </w:r>
          </w:p>
        </w:tc>
      </w:tr>
      <w:tr w14:paraId="3EC9494A">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7" w:hRule="atLeast"/>
        </w:trPr>
        <w:tc>
          <w:tcPr>
            <w:tcW w:w="1597" w:type="dxa"/>
            <w:vAlign w:val="top"/>
          </w:tcPr>
          <w:p w14:paraId="4A1CF309">
            <w:pPr>
              <w:pStyle w:val="7"/>
              <w:spacing w:before="102" w:line="190" w:lineRule="auto"/>
              <w:ind w:left="77"/>
            </w:pPr>
            <w:r>
              <w:rPr>
                <w:b/>
                <w:bCs/>
                <w:spacing w:val="5"/>
              </w:rPr>
              <w:t>挂牌公告期</w:t>
            </w:r>
          </w:p>
        </w:tc>
        <w:tc>
          <w:tcPr>
            <w:tcW w:w="3193" w:type="dxa"/>
            <w:tcBorders>
              <w:top w:val="single" w:color="DDDDDD" w:sz="2" w:space="0"/>
              <w:bottom w:val="single" w:color="DDDDDD" w:sz="2" w:space="0"/>
              <w:right w:val="single" w:color="DDDDDD" w:sz="2" w:space="0"/>
            </w:tcBorders>
            <w:vAlign w:val="top"/>
          </w:tcPr>
          <w:p w14:paraId="79685A90">
            <w:pPr>
              <w:pStyle w:val="7"/>
              <w:spacing w:before="103" w:line="189" w:lineRule="auto"/>
              <w:ind w:left="87"/>
            </w:pPr>
            <w:r>
              <w:rPr>
                <w:spacing w:val="4"/>
              </w:rPr>
              <w:t>自公告之日起5个工作日</w:t>
            </w:r>
          </w:p>
        </w:tc>
        <w:tc>
          <w:tcPr>
            <w:tcW w:w="1592" w:type="dxa"/>
            <w:tcBorders>
              <w:top w:val="single" w:color="DDDDDD" w:sz="2" w:space="0"/>
              <w:left w:val="single" w:color="DDDDDD" w:sz="2" w:space="0"/>
            </w:tcBorders>
            <w:vAlign w:val="top"/>
          </w:tcPr>
          <w:p w14:paraId="7FAAE61D">
            <w:pPr>
              <w:pStyle w:val="7"/>
              <w:spacing w:before="102" w:line="190" w:lineRule="auto"/>
              <w:ind w:left="77"/>
            </w:pPr>
            <w:r>
              <w:rPr>
                <w:b/>
                <w:bCs/>
                <w:spacing w:val="5"/>
              </w:rPr>
              <w:t>挂牌起始日期</w:t>
            </w:r>
          </w:p>
        </w:tc>
        <w:tc>
          <w:tcPr>
            <w:tcW w:w="1695" w:type="dxa"/>
            <w:tcBorders>
              <w:top w:val="single" w:color="DDDDDD" w:sz="2" w:space="0"/>
              <w:bottom w:val="single" w:color="DDDDDD" w:sz="2" w:space="0"/>
              <w:right w:val="single" w:color="DDDDDD" w:sz="2" w:space="0"/>
            </w:tcBorders>
            <w:vAlign w:val="top"/>
          </w:tcPr>
          <w:p w14:paraId="0FA5D15D">
            <w:pPr>
              <w:pStyle w:val="7"/>
              <w:spacing w:before="79" w:line="216" w:lineRule="exact"/>
              <w:ind w:left="83"/>
              <w:rPr>
                <w:rFonts w:hint="eastAsia" w:eastAsia="微软雅黑"/>
                <w:lang w:eastAsia="zh-CN"/>
              </w:rPr>
            </w:pPr>
            <w:r>
              <w:rPr>
                <w:spacing w:val="2"/>
                <w:position w:val="2"/>
              </w:rPr>
              <w:t>2026-08-1</w:t>
            </w:r>
            <w:r>
              <w:rPr>
                <w:rFonts w:hint="eastAsia"/>
                <w:spacing w:val="2"/>
                <w:position w:val="2"/>
                <w:lang w:val="en-US" w:eastAsia="zh-CN"/>
              </w:rPr>
              <w:t>2</w:t>
            </w:r>
          </w:p>
        </w:tc>
      </w:tr>
      <w:tr w14:paraId="5E2ADDDD">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7" w:hRule="atLeast"/>
        </w:trPr>
        <w:tc>
          <w:tcPr>
            <w:tcW w:w="1597" w:type="dxa"/>
            <w:vAlign w:val="top"/>
          </w:tcPr>
          <w:p w14:paraId="5457283D">
            <w:pPr>
              <w:pStyle w:val="7"/>
              <w:spacing w:before="103" w:line="190" w:lineRule="auto"/>
              <w:ind w:left="78"/>
            </w:pPr>
            <w:r>
              <w:rPr>
                <w:b/>
                <w:bCs/>
                <w:spacing w:val="5"/>
              </w:rPr>
              <w:t>是否联合转让</w:t>
            </w:r>
          </w:p>
        </w:tc>
        <w:tc>
          <w:tcPr>
            <w:tcW w:w="3193" w:type="dxa"/>
            <w:tcBorders>
              <w:top w:val="single" w:color="DDDDDD" w:sz="2" w:space="0"/>
              <w:bottom w:val="single" w:color="DDDDDD" w:sz="2" w:space="0"/>
              <w:right w:val="single" w:color="DDDDDD" w:sz="2" w:space="0"/>
            </w:tcBorders>
            <w:vAlign w:val="top"/>
          </w:tcPr>
          <w:p w14:paraId="2D334E6F">
            <w:pPr>
              <w:pStyle w:val="7"/>
              <w:spacing w:before="111" w:line="181" w:lineRule="auto"/>
              <w:ind w:left="74"/>
            </w:pPr>
            <w:r>
              <w:rPr>
                <w:spacing w:val="3"/>
              </w:rPr>
              <w:t>否</w:t>
            </w:r>
          </w:p>
        </w:tc>
        <w:tc>
          <w:tcPr>
            <w:tcW w:w="1592" w:type="dxa"/>
            <w:tcBorders>
              <w:left w:val="single" w:color="DDDDDD" w:sz="2" w:space="0"/>
            </w:tcBorders>
            <w:vAlign w:val="top"/>
          </w:tcPr>
          <w:p w14:paraId="425E98BE">
            <w:pPr>
              <w:pStyle w:val="7"/>
              <w:spacing w:before="103" w:line="190" w:lineRule="auto"/>
              <w:ind w:left="77"/>
            </w:pPr>
            <w:r>
              <w:rPr>
                <w:b/>
                <w:bCs/>
                <w:spacing w:val="5"/>
              </w:rPr>
              <w:t>挂牌截止日期</w:t>
            </w:r>
          </w:p>
        </w:tc>
        <w:tc>
          <w:tcPr>
            <w:tcW w:w="1695" w:type="dxa"/>
            <w:tcBorders>
              <w:top w:val="single" w:color="DDDDDD" w:sz="2" w:space="0"/>
              <w:bottom w:val="single" w:color="DDDDDD" w:sz="2" w:space="0"/>
              <w:right w:val="single" w:color="DDDDDD" w:sz="2" w:space="0"/>
            </w:tcBorders>
            <w:vAlign w:val="top"/>
          </w:tcPr>
          <w:p w14:paraId="43D97560">
            <w:pPr>
              <w:pStyle w:val="7"/>
              <w:spacing w:before="80" w:line="216" w:lineRule="exact"/>
              <w:ind w:left="83"/>
              <w:rPr>
                <w:rFonts w:hint="eastAsia" w:eastAsia="微软雅黑"/>
                <w:lang w:eastAsia="zh-CN"/>
              </w:rPr>
            </w:pPr>
            <w:r>
              <w:rPr>
                <w:spacing w:val="2"/>
                <w:position w:val="2"/>
              </w:rPr>
              <w:t>2026-08-1</w:t>
            </w:r>
            <w:r>
              <w:rPr>
                <w:rFonts w:hint="eastAsia"/>
                <w:spacing w:val="2"/>
                <w:position w:val="2"/>
                <w:lang w:val="en-US" w:eastAsia="zh-CN"/>
              </w:rPr>
              <w:t>8</w:t>
            </w:r>
          </w:p>
        </w:tc>
      </w:tr>
      <w:tr w14:paraId="4E326F5F">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32" w:hRule="atLeast"/>
        </w:trPr>
        <w:tc>
          <w:tcPr>
            <w:tcW w:w="1597" w:type="dxa"/>
            <w:vAlign w:val="top"/>
          </w:tcPr>
          <w:p w14:paraId="7723E51D">
            <w:pPr>
              <w:pStyle w:val="7"/>
              <w:spacing w:before="103" w:line="191" w:lineRule="auto"/>
              <w:ind w:left="78"/>
            </w:pPr>
            <w:r>
              <w:rPr>
                <w:b/>
                <w:bCs/>
                <w:spacing w:val="5"/>
              </w:rPr>
              <w:t>是否允许联合受让</w:t>
            </w:r>
          </w:p>
        </w:tc>
        <w:tc>
          <w:tcPr>
            <w:tcW w:w="3193" w:type="dxa"/>
            <w:tcBorders>
              <w:top w:val="single" w:color="DDDDDD" w:sz="2" w:space="0"/>
              <w:bottom w:val="single" w:color="DDDDDD" w:sz="2" w:space="0"/>
              <w:right w:val="single" w:color="DDDDDD" w:sz="2" w:space="0"/>
            </w:tcBorders>
            <w:vAlign w:val="top"/>
          </w:tcPr>
          <w:p w14:paraId="14AE9ECD">
            <w:pPr>
              <w:pStyle w:val="7"/>
              <w:spacing w:before="112" w:line="181" w:lineRule="auto"/>
              <w:ind w:left="74"/>
            </w:pPr>
            <w:r>
              <w:rPr>
                <w:spacing w:val="3"/>
              </w:rPr>
              <w:t>否</w:t>
            </w:r>
          </w:p>
        </w:tc>
        <w:tc>
          <w:tcPr>
            <w:tcW w:w="1592" w:type="dxa"/>
            <w:tcBorders>
              <w:left w:val="single" w:color="DDDDDD" w:sz="2" w:space="0"/>
            </w:tcBorders>
            <w:vAlign w:val="top"/>
          </w:tcPr>
          <w:p w14:paraId="6119472C">
            <w:pPr>
              <w:pStyle w:val="7"/>
              <w:spacing w:before="105" w:line="189" w:lineRule="auto"/>
              <w:ind w:left="77"/>
            </w:pPr>
            <w:r>
              <w:rPr>
                <w:b/>
                <w:bCs/>
                <w:spacing w:val="5"/>
              </w:rPr>
              <w:t>是否涉及优先权</w:t>
            </w:r>
          </w:p>
        </w:tc>
        <w:tc>
          <w:tcPr>
            <w:tcW w:w="1695" w:type="dxa"/>
            <w:tcBorders>
              <w:top w:val="single" w:color="DDDDDD" w:sz="2" w:space="0"/>
              <w:bottom w:val="single" w:color="DDDDDD" w:sz="2" w:space="0"/>
              <w:right w:val="single" w:color="DDDDDD" w:sz="2" w:space="0"/>
            </w:tcBorders>
            <w:vAlign w:val="top"/>
          </w:tcPr>
          <w:p w14:paraId="6F47C32B">
            <w:pPr>
              <w:pStyle w:val="7"/>
              <w:spacing w:before="106" w:line="188" w:lineRule="auto"/>
              <w:ind w:left="77"/>
            </w:pPr>
            <w:r>
              <w:rPr>
                <w:spacing w:val="5"/>
              </w:rPr>
              <w:t>不涉及</w:t>
            </w:r>
          </w:p>
        </w:tc>
      </w:tr>
    </w:tbl>
    <w:p w14:paraId="6C9E8221">
      <w:pPr>
        <w:spacing w:line="180" w:lineRule="exact"/>
      </w:pPr>
    </w:p>
    <w:tbl>
      <w:tblPr>
        <w:tblStyle w:val="6"/>
        <w:tblW w:w="8077" w:type="dxa"/>
        <w:tblInd w:w="1437" w:type="dxa"/>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0" w:type="dxa"/>
          <w:bottom w:w="0" w:type="dxa"/>
          <w:right w:w="0" w:type="dxa"/>
        </w:tblCellMar>
      </w:tblPr>
      <w:tblGrid>
        <w:gridCol w:w="1597"/>
        <w:gridCol w:w="1592"/>
        <w:gridCol w:w="4888"/>
      </w:tblGrid>
      <w:tr w14:paraId="5F7AFCF2">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87" w:hRule="atLeast"/>
        </w:trPr>
        <w:tc>
          <w:tcPr>
            <w:tcW w:w="8077" w:type="dxa"/>
            <w:gridSpan w:val="3"/>
            <w:vAlign w:val="top"/>
          </w:tcPr>
          <w:p w14:paraId="003BFF54">
            <w:pPr>
              <w:pStyle w:val="7"/>
              <w:spacing w:before="108" w:line="185" w:lineRule="auto"/>
              <w:ind w:left="80"/>
              <w:rPr>
                <w:sz w:val="16"/>
                <w:szCs w:val="16"/>
              </w:rPr>
            </w:pPr>
            <w:r>
              <w:rPr>
                <w:b/>
                <w:bCs/>
                <w:spacing w:val="1"/>
                <w:sz w:val="16"/>
                <w:szCs w:val="16"/>
              </w:rPr>
              <w:t>一、标的基本信息</w:t>
            </w:r>
          </w:p>
        </w:tc>
      </w:tr>
      <w:tr w14:paraId="039E753B">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1174" w:hRule="atLeast"/>
        </w:trPr>
        <w:tc>
          <w:tcPr>
            <w:tcW w:w="1597" w:type="dxa"/>
            <w:vAlign w:val="top"/>
          </w:tcPr>
          <w:p w14:paraId="4C74047D">
            <w:pPr>
              <w:spacing w:line="467" w:lineRule="auto"/>
              <w:rPr>
                <w:rFonts w:ascii="Arial"/>
                <w:sz w:val="21"/>
              </w:rPr>
            </w:pPr>
          </w:p>
          <w:p w14:paraId="1CABE579">
            <w:pPr>
              <w:pStyle w:val="7"/>
              <w:spacing w:before="51" w:line="190" w:lineRule="auto"/>
              <w:ind w:left="77"/>
            </w:pPr>
            <w:r>
              <w:rPr>
                <w:b/>
                <w:bCs/>
                <w:spacing w:val="5"/>
              </w:rPr>
              <w:t>标的资产概况</w:t>
            </w:r>
          </w:p>
        </w:tc>
        <w:tc>
          <w:tcPr>
            <w:tcW w:w="6480" w:type="dxa"/>
            <w:gridSpan w:val="2"/>
            <w:tcBorders>
              <w:bottom w:val="single" w:color="DDDDDD" w:sz="2" w:space="0"/>
              <w:right w:val="single" w:color="DDDDDD" w:sz="2" w:space="0"/>
            </w:tcBorders>
            <w:vAlign w:val="top"/>
          </w:tcPr>
          <w:p w14:paraId="057FE62F">
            <w:pPr>
              <w:pStyle w:val="7"/>
              <w:spacing w:before="115" w:line="191" w:lineRule="auto"/>
              <w:ind w:left="91"/>
            </w:pPr>
            <w:r>
              <w:rPr>
                <w:spacing w:val="2"/>
              </w:rPr>
              <w:t>转让标的基本情况详见附件：  剩余电缆资产清单。</w:t>
            </w:r>
          </w:p>
          <w:p w14:paraId="0DCC739E">
            <w:pPr>
              <w:pStyle w:val="7"/>
              <w:spacing w:before="16" w:line="210" w:lineRule="auto"/>
              <w:ind w:left="103" w:right="173" w:hanging="12"/>
            </w:pPr>
            <w:r>
              <w:rPr>
                <w:spacing w:val="3"/>
              </w:rPr>
              <w:t>转让标的的品质和状况以现状为准，按现状转让。  转让标的现存放地区：福建省福州市永泰县白云乡岭下村青兰18号。</w:t>
            </w:r>
          </w:p>
          <w:p w14:paraId="0E700550">
            <w:pPr>
              <w:pStyle w:val="7"/>
              <w:spacing w:line="190" w:lineRule="auto"/>
              <w:ind w:left="94"/>
            </w:pPr>
            <w:r>
              <w:rPr>
                <w:b/>
                <w:bCs/>
                <w:spacing w:val="5"/>
              </w:rPr>
              <w:t>以上转让标的为整体转让,转让标的具体状况和品质以现场</w:t>
            </w:r>
            <w:r>
              <w:rPr>
                <w:b/>
                <w:bCs/>
                <w:spacing w:val="4"/>
              </w:rPr>
              <w:t>看样为准。</w:t>
            </w:r>
          </w:p>
        </w:tc>
      </w:tr>
      <w:tr w14:paraId="124D97E9">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64" w:hRule="atLeast"/>
        </w:trPr>
        <w:tc>
          <w:tcPr>
            <w:tcW w:w="1597" w:type="dxa"/>
            <w:tcBorders>
              <w:bottom w:val="single" w:color="DDDDDD" w:sz="6" w:space="0"/>
            </w:tcBorders>
            <w:vAlign w:val="top"/>
          </w:tcPr>
          <w:p w14:paraId="21950105">
            <w:pPr>
              <w:pStyle w:val="7"/>
              <w:spacing w:before="116" w:line="190" w:lineRule="auto"/>
              <w:ind w:left="77"/>
            </w:pPr>
            <w:r>
              <w:rPr>
                <w:b/>
                <w:bCs/>
                <w:spacing w:val="5"/>
              </w:rPr>
              <w:t>标的资产数量</w:t>
            </w:r>
          </w:p>
        </w:tc>
        <w:tc>
          <w:tcPr>
            <w:tcW w:w="6480" w:type="dxa"/>
            <w:gridSpan w:val="2"/>
            <w:tcBorders>
              <w:top w:val="single" w:color="DDDDDD" w:sz="2" w:space="0"/>
              <w:bottom w:val="single" w:color="DDDDDD" w:sz="6" w:space="0"/>
              <w:right w:val="single" w:color="DDDDDD" w:sz="2" w:space="0"/>
            </w:tcBorders>
            <w:vAlign w:val="top"/>
          </w:tcPr>
          <w:p w14:paraId="67C03461">
            <w:pPr>
              <w:pStyle w:val="7"/>
              <w:spacing w:before="181" w:line="96" w:lineRule="exact"/>
              <w:ind w:left="90"/>
            </w:pPr>
            <w:r>
              <w:rPr>
                <w:spacing w:val="6"/>
                <w:position w:val="-1"/>
              </w:rPr>
              <w:t>——</w:t>
            </w:r>
          </w:p>
        </w:tc>
      </w:tr>
      <w:tr w14:paraId="094E7E38">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09" w:hRule="atLeast"/>
        </w:trPr>
        <w:tc>
          <w:tcPr>
            <w:tcW w:w="8077" w:type="dxa"/>
            <w:gridSpan w:val="3"/>
            <w:tcBorders>
              <w:top w:val="single" w:color="DDDDDD" w:sz="2" w:space="0"/>
              <w:left w:val="single" w:color="DDDDDD" w:sz="2" w:space="0"/>
              <w:bottom w:val="single" w:color="DDDDDD" w:sz="6" w:space="0"/>
              <w:right w:val="single" w:color="DDDDDD" w:sz="2" w:space="0"/>
            </w:tcBorders>
            <w:vAlign w:val="top"/>
          </w:tcPr>
          <w:p w14:paraId="7004D4CC">
            <w:pPr>
              <w:pStyle w:val="7"/>
              <w:spacing w:before="85" w:line="195" w:lineRule="auto"/>
              <w:ind w:left="83"/>
              <w:rPr>
                <w:sz w:val="11"/>
                <w:szCs w:val="11"/>
              </w:rPr>
            </w:pPr>
            <w:r>
              <w:rPr>
                <w:spacing w:val="2"/>
                <w:sz w:val="11"/>
                <w:szCs w:val="11"/>
              </w:rPr>
              <w:t>略</w:t>
            </w:r>
          </w:p>
        </w:tc>
      </w:tr>
      <w:tr w14:paraId="00F0A601">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81" w:hRule="atLeast"/>
        </w:trPr>
        <w:tc>
          <w:tcPr>
            <w:tcW w:w="8077" w:type="dxa"/>
            <w:gridSpan w:val="3"/>
            <w:tcBorders>
              <w:top w:val="single" w:color="DDDDDD" w:sz="6" w:space="0"/>
              <w:bottom w:val="single" w:color="DDDDDD" w:sz="6" w:space="0"/>
            </w:tcBorders>
            <w:vAlign w:val="top"/>
          </w:tcPr>
          <w:p w14:paraId="1DE7A7C5">
            <w:pPr>
              <w:pStyle w:val="7"/>
              <w:spacing w:before="104" w:line="184" w:lineRule="auto"/>
              <w:ind w:left="81"/>
              <w:rPr>
                <w:sz w:val="16"/>
                <w:szCs w:val="16"/>
              </w:rPr>
            </w:pPr>
            <w:r>
              <w:rPr>
                <w:b/>
                <w:bCs/>
                <w:spacing w:val="1"/>
                <w:sz w:val="16"/>
                <w:szCs w:val="16"/>
              </w:rPr>
              <w:t>二、转让方简况</w:t>
            </w:r>
          </w:p>
        </w:tc>
      </w:tr>
      <w:tr w14:paraId="42C17D01">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77" w:hRule="atLeast"/>
        </w:trPr>
        <w:tc>
          <w:tcPr>
            <w:tcW w:w="8077" w:type="dxa"/>
            <w:gridSpan w:val="3"/>
            <w:tcBorders>
              <w:top w:val="single" w:color="DDDDDD" w:sz="6" w:space="0"/>
            </w:tcBorders>
            <w:vAlign w:val="top"/>
          </w:tcPr>
          <w:p w14:paraId="35A97DB5">
            <w:pPr>
              <w:pStyle w:val="7"/>
              <w:spacing w:before="103" w:line="185" w:lineRule="auto"/>
              <w:ind w:left="80"/>
              <w:rPr>
                <w:sz w:val="16"/>
                <w:szCs w:val="16"/>
              </w:rPr>
            </w:pPr>
            <w:r>
              <w:rPr>
                <w:b/>
                <w:bCs/>
                <w:spacing w:val="1"/>
                <w:sz w:val="16"/>
                <w:szCs w:val="16"/>
              </w:rPr>
              <w:t>三、 交易条件与受让方资格条件</w:t>
            </w:r>
          </w:p>
        </w:tc>
      </w:tr>
      <w:tr w14:paraId="00E56B6A">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7" w:type="dxa"/>
            <w:vMerge w:val="restart"/>
            <w:tcBorders>
              <w:bottom w:val="nil"/>
            </w:tcBorders>
            <w:vAlign w:val="top"/>
          </w:tcPr>
          <w:p w14:paraId="7775DC36">
            <w:pPr>
              <w:spacing w:line="268" w:lineRule="auto"/>
              <w:rPr>
                <w:rFonts w:ascii="Arial"/>
                <w:sz w:val="21"/>
              </w:rPr>
            </w:pPr>
          </w:p>
          <w:p w14:paraId="4B5F8C39">
            <w:pPr>
              <w:spacing w:line="268" w:lineRule="auto"/>
              <w:rPr>
                <w:rFonts w:ascii="Arial"/>
                <w:sz w:val="21"/>
              </w:rPr>
            </w:pPr>
          </w:p>
          <w:p w14:paraId="7C4978D8">
            <w:pPr>
              <w:spacing w:line="268" w:lineRule="auto"/>
              <w:rPr>
                <w:rFonts w:ascii="Arial"/>
                <w:sz w:val="21"/>
              </w:rPr>
            </w:pPr>
          </w:p>
          <w:p w14:paraId="49CEEE2B">
            <w:pPr>
              <w:spacing w:line="268" w:lineRule="auto"/>
              <w:rPr>
                <w:rFonts w:ascii="Arial"/>
                <w:sz w:val="21"/>
              </w:rPr>
            </w:pPr>
          </w:p>
          <w:p w14:paraId="07B52A0A">
            <w:pPr>
              <w:spacing w:line="268" w:lineRule="auto"/>
              <w:rPr>
                <w:rFonts w:ascii="Arial"/>
                <w:sz w:val="21"/>
              </w:rPr>
            </w:pPr>
          </w:p>
          <w:p w14:paraId="02B8A1E7">
            <w:pPr>
              <w:spacing w:line="268" w:lineRule="auto"/>
              <w:rPr>
                <w:rFonts w:ascii="Arial"/>
                <w:sz w:val="21"/>
              </w:rPr>
            </w:pPr>
          </w:p>
          <w:p w14:paraId="4736E854">
            <w:pPr>
              <w:spacing w:line="268" w:lineRule="auto"/>
              <w:rPr>
                <w:rFonts w:ascii="Arial"/>
                <w:sz w:val="21"/>
              </w:rPr>
            </w:pPr>
          </w:p>
          <w:p w14:paraId="1DD89AE3">
            <w:pPr>
              <w:spacing w:line="268" w:lineRule="auto"/>
              <w:rPr>
                <w:rFonts w:ascii="Arial"/>
                <w:sz w:val="21"/>
              </w:rPr>
            </w:pPr>
          </w:p>
          <w:p w14:paraId="76A19572">
            <w:pPr>
              <w:pStyle w:val="7"/>
              <w:spacing w:before="51" w:line="190" w:lineRule="auto"/>
              <w:ind w:left="77"/>
            </w:pPr>
            <w:r>
              <w:rPr>
                <w:b/>
                <w:bCs/>
                <w:spacing w:val="5"/>
              </w:rPr>
              <w:t>交易条件</w:t>
            </w:r>
          </w:p>
        </w:tc>
        <w:tc>
          <w:tcPr>
            <w:tcW w:w="1592" w:type="dxa"/>
            <w:vAlign w:val="top"/>
          </w:tcPr>
          <w:p w14:paraId="045835D4">
            <w:pPr>
              <w:pStyle w:val="7"/>
              <w:spacing w:before="102" w:line="190" w:lineRule="auto"/>
              <w:ind w:left="73"/>
            </w:pPr>
            <w:r>
              <w:rPr>
                <w:b/>
                <w:bCs/>
                <w:spacing w:val="5"/>
              </w:rPr>
              <w:t>挂牌价</w:t>
            </w:r>
          </w:p>
        </w:tc>
        <w:tc>
          <w:tcPr>
            <w:tcW w:w="4888" w:type="dxa"/>
            <w:tcBorders>
              <w:bottom w:val="single" w:color="DDDDDD" w:sz="2" w:space="0"/>
              <w:right w:val="single" w:color="DDDDDD" w:sz="2" w:space="0"/>
            </w:tcBorders>
            <w:vAlign w:val="top"/>
          </w:tcPr>
          <w:p w14:paraId="5622A5A0">
            <w:pPr>
              <w:pStyle w:val="7"/>
              <w:spacing w:before="79" w:line="235" w:lineRule="auto"/>
              <w:ind w:left="79"/>
            </w:pPr>
            <w:r>
              <w:rPr>
                <w:spacing w:val="2"/>
              </w:rPr>
              <w:t>80 万元</w:t>
            </w:r>
          </w:p>
        </w:tc>
      </w:tr>
      <w:tr w14:paraId="262D1EAC">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7" w:type="dxa"/>
            <w:vMerge w:val="continue"/>
            <w:tcBorders>
              <w:top w:val="nil"/>
              <w:bottom w:val="nil"/>
            </w:tcBorders>
            <w:vAlign w:val="top"/>
          </w:tcPr>
          <w:p w14:paraId="20D2E741">
            <w:pPr>
              <w:rPr>
                <w:rFonts w:ascii="Arial"/>
                <w:sz w:val="21"/>
              </w:rPr>
            </w:pPr>
          </w:p>
        </w:tc>
        <w:tc>
          <w:tcPr>
            <w:tcW w:w="1592" w:type="dxa"/>
            <w:vAlign w:val="top"/>
          </w:tcPr>
          <w:p w14:paraId="38018418">
            <w:pPr>
              <w:pStyle w:val="7"/>
              <w:spacing w:before="102" w:line="190" w:lineRule="auto"/>
              <w:ind w:left="73"/>
            </w:pPr>
            <w:r>
              <w:rPr>
                <w:b/>
                <w:bCs/>
                <w:spacing w:val="5"/>
              </w:rPr>
              <w:t>价款支付方式</w:t>
            </w:r>
          </w:p>
        </w:tc>
        <w:tc>
          <w:tcPr>
            <w:tcW w:w="4888" w:type="dxa"/>
            <w:tcBorders>
              <w:top w:val="single" w:color="DDDDDD" w:sz="2" w:space="0"/>
              <w:bottom w:val="single" w:color="DDDDDD" w:sz="2" w:space="0"/>
              <w:right w:val="single" w:color="DDDDDD" w:sz="2" w:space="0"/>
            </w:tcBorders>
            <w:vAlign w:val="top"/>
          </w:tcPr>
          <w:p w14:paraId="757FE162">
            <w:pPr>
              <w:pStyle w:val="7"/>
              <w:spacing w:before="103" w:line="189" w:lineRule="auto"/>
              <w:ind w:left="75"/>
            </w:pPr>
            <w:r>
              <w:rPr>
                <w:spacing w:val="5"/>
              </w:rPr>
              <w:t>一次性</w:t>
            </w:r>
          </w:p>
        </w:tc>
      </w:tr>
      <w:tr w14:paraId="067BB688">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880" w:hRule="atLeast"/>
        </w:trPr>
        <w:tc>
          <w:tcPr>
            <w:tcW w:w="1597" w:type="dxa"/>
            <w:vMerge w:val="continue"/>
            <w:tcBorders>
              <w:top w:val="nil"/>
              <w:bottom w:val="single" w:color="DDDDDD" w:sz="6" w:space="0"/>
            </w:tcBorders>
            <w:vAlign w:val="top"/>
          </w:tcPr>
          <w:p w14:paraId="765BDF04">
            <w:pPr>
              <w:rPr>
                <w:rFonts w:ascii="Arial"/>
                <w:sz w:val="21"/>
              </w:rPr>
            </w:pPr>
          </w:p>
        </w:tc>
        <w:tc>
          <w:tcPr>
            <w:tcW w:w="1592" w:type="dxa"/>
            <w:tcBorders>
              <w:bottom w:val="single" w:color="DDDDDD" w:sz="6" w:space="0"/>
            </w:tcBorders>
            <w:vAlign w:val="top"/>
          </w:tcPr>
          <w:p w14:paraId="6478FA34">
            <w:pPr>
              <w:spacing w:line="259" w:lineRule="auto"/>
              <w:rPr>
                <w:rFonts w:ascii="Arial"/>
                <w:sz w:val="21"/>
              </w:rPr>
            </w:pPr>
          </w:p>
          <w:p w14:paraId="254193B2">
            <w:pPr>
              <w:spacing w:line="259" w:lineRule="auto"/>
              <w:rPr>
                <w:rFonts w:ascii="Arial"/>
                <w:sz w:val="21"/>
              </w:rPr>
            </w:pPr>
          </w:p>
          <w:p w14:paraId="034F7FCD">
            <w:pPr>
              <w:spacing w:line="259" w:lineRule="auto"/>
              <w:rPr>
                <w:rFonts w:ascii="Arial"/>
                <w:sz w:val="21"/>
              </w:rPr>
            </w:pPr>
          </w:p>
          <w:p w14:paraId="3C860875">
            <w:pPr>
              <w:spacing w:line="259" w:lineRule="auto"/>
              <w:rPr>
                <w:rFonts w:ascii="Arial"/>
                <w:sz w:val="21"/>
              </w:rPr>
            </w:pPr>
          </w:p>
          <w:p w14:paraId="57AABC72">
            <w:pPr>
              <w:spacing w:line="259" w:lineRule="auto"/>
              <w:rPr>
                <w:rFonts w:ascii="Arial"/>
                <w:sz w:val="21"/>
              </w:rPr>
            </w:pPr>
          </w:p>
          <w:p w14:paraId="4937CDC3">
            <w:pPr>
              <w:spacing w:line="259" w:lineRule="auto"/>
              <w:rPr>
                <w:rFonts w:ascii="Arial"/>
                <w:sz w:val="21"/>
              </w:rPr>
            </w:pPr>
          </w:p>
          <w:p w14:paraId="574E04F7">
            <w:pPr>
              <w:spacing w:line="259" w:lineRule="auto"/>
              <w:rPr>
                <w:rFonts w:ascii="Arial"/>
                <w:sz w:val="21"/>
              </w:rPr>
            </w:pPr>
          </w:p>
          <w:p w14:paraId="4E559625">
            <w:pPr>
              <w:pStyle w:val="7"/>
              <w:spacing w:before="51" w:line="190" w:lineRule="auto"/>
              <w:ind w:left="75"/>
            </w:pPr>
            <w:r>
              <w:rPr>
                <w:b/>
                <w:bCs/>
                <w:spacing w:val="5"/>
              </w:rPr>
              <w:t>与交易相关其他条件</w:t>
            </w:r>
          </w:p>
        </w:tc>
        <w:tc>
          <w:tcPr>
            <w:tcW w:w="4888" w:type="dxa"/>
            <w:tcBorders>
              <w:top w:val="single" w:color="DDDDDD" w:sz="2" w:space="0"/>
              <w:bottom w:val="single" w:color="DDDDDD" w:sz="6" w:space="0"/>
              <w:right w:val="single" w:color="DDDDDD" w:sz="2" w:space="0"/>
            </w:tcBorders>
            <w:vAlign w:val="top"/>
          </w:tcPr>
          <w:p w14:paraId="4298C02D">
            <w:pPr>
              <w:pStyle w:val="7"/>
              <w:spacing w:before="209" w:line="215" w:lineRule="auto"/>
              <w:ind w:left="91" w:right="130" w:firstLine="12"/>
            </w:pPr>
            <w:r>
              <w:rPr>
                <w:spacing w:val="6"/>
              </w:rPr>
              <w:t>1、交易保证金。竞买人在充分了解转让标的</w:t>
            </w:r>
            <w:r>
              <w:rPr>
                <w:spacing w:val="5"/>
              </w:rPr>
              <w:t>的情况下，应在报名截止时间前支付交</w:t>
            </w:r>
            <w:r>
              <w:rPr>
                <w:spacing w:val="6"/>
              </w:rPr>
              <w:t>易保证金到产权交易机构指定银行账户，即表明竞买人对转让方做出接受交易条</w:t>
            </w:r>
            <w:r>
              <w:rPr>
                <w:spacing w:val="5"/>
              </w:rPr>
              <w:t>件并</w:t>
            </w:r>
            <w:r>
              <w:rPr>
                <w:spacing w:val="6"/>
              </w:rPr>
              <w:t>以不低于挂牌价格受让转让标的承诺的确认。竞买人逾期未交纳交易保证金的，</w:t>
            </w:r>
            <w:r>
              <w:rPr>
                <w:spacing w:val="5"/>
              </w:rPr>
              <w:t>不具</w:t>
            </w:r>
            <w:r>
              <w:rPr>
                <w:spacing w:val="1"/>
              </w:rPr>
              <w:t>备竞买资格。</w:t>
            </w:r>
          </w:p>
          <w:p w14:paraId="48BD4BD6">
            <w:pPr>
              <w:pStyle w:val="7"/>
              <w:spacing w:before="72" w:line="220" w:lineRule="auto"/>
              <w:ind w:left="93" w:right="160" w:firstLine="5"/>
            </w:pPr>
            <w:r>
              <w:rPr>
                <w:spacing w:val="6"/>
              </w:rPr>
              <w:t>2、签订资产转让合同。受让方须在转让标的竞价</w:t>
            </w:r>
            <w:r>
              <w:rPr>
                <w:spacing w:val="5"/>
              </w:rPr>
              <w:t>成交后20个工作日内与转让方签订</w:t>
            </w:r>
            <w:r>
              <w:rPr>
                <w:spacing w:val="1"/>
              </w:rPr>
              <w:t>资产转让合同。</w:t>
            </w:r>
          </w:p>
          <w:p w14:paraId="459545D0">
            <w:pPr>
              <w:pStyle w:val="7"/>
              <w:spacing w:before="73" w:line="220" w:lineRule="auto"/>
              <w:ind w:left="92" w:right="108" w:firstLine="7"/>
            </w:pPr>
            <w:r>
              <w:rPr>
                <w:spacing w:val="6"/>
              </w:rPr>
              <w:t>3、价款结算。全部成交价款须在转、受让双方签订</w:t>
            </w:r>
            <w:r>
              <w:rPr>
                <w:spacing w:val="5"/>
              </w:rPr>
              <w:t>的资产转让合同生效之日起5个工</w:t>
            </w:r>
            <w:r>
              <w:rPr>
                <w:spacing w:val="2"/>
              </w:rPr>
              <w:t>作日内一次性付清。</w:t>
            </w:r>
          </w:p>
          <w:p w14:paraId="5E50712D">
            <w:pPr>
              <w:pStyle w:val="7"/>
              <w:spacing w:before="71" w:line="210" w:lineRule="auto"/>
              <w:ind w:left="101" w:right="182" w:hanging="9"/>
            </w:pPr>
            <w:r>
              <w:rPr>
                <w:spacing w:val="6"/>
              </w:rPr>
              <w:t>4、资产交割。交易双方应在收到产权交易机构出具产权交易凭证后按照</w:t>
            </w:r>
            <w:r>
              <w:rPr>
                <w:spacing w:val="5"/>
              </w:rPr>
              <w:t>资产转让合</w:t>
            </w:r>
            <w:r>
              <w:rPr>
                <w:spacing w:val="6"/>
              </w:rPr>
              <w:t>同的约定开始进行标的权属变更及实物移交。产权交易</w:t>
            </w:r>
            <w:r>
              <w:rPr>
                <w:spacing w:val="5"/>
              </w:rPr>
              <w:t>机构在转让方和受让方通过</w:t>
            </w:r>
          </w:p>
          <w:p w14:paraId="75FD41E7">
            <w:pPr>
              <w:pStyle w:val="7"/>
              <w:spacing w:before="1" w:line="216" w:lineRule="auto"/>
              <w:ind w:left="92" w:right="130" w:firstLine="18"/>
            </w:pPr>
            <w:r>
              <w:rPr>
                <w:spacing w:val="5"/>
              </w:rPr>
              <w:t>“交易系统”提交经双方确认有效签章的交割确认单且转让方和受让方点击“确认交</w:t>
            </w:r>
            <w:r>
              <w:rPr>
                <w:spacing w:val="6"/>
              </w:rPr>
              <w:t>割完成”后或由转让方上传交割确认单并提交交割事项完成相关证明材料原件</w:t>
            </w:r>
            <w:r>
              <w:rPr>
                <w:spacing w:val="5"/>
              </w:rPr>
              <w:t>或复印件加盖公章并校验原件后，产权交易机构将交易价款无息划转至转让方指定账户。</w:t>
            </w:r>
          </w:p>
          <w:p w14:paraId="349E3C91">
            <w:pPr>
              <w:pStyle w:val="7"/>
              <w:spacing w:before="72" w:line="217" w:lineRule="auto"/>
              <w:ind w:left="93" w:right="130" w:firstLine="8"/>
            </w:pPr>
            <w:r>
              <w:rPr>
                <w:spacing w:val="6"/>
              </w:rPr>
              <w:t>5、税费承担。转让标的在变更过户过程中产生的</w:t>
            </w:r>
            <w:r>
              <w:rPr>
                <w:spacing w:val="5"/>
              </w:rPr>
              <w:t>税、费按国家和地方法律法规规章</w:t>
            </w:r>
            <w:r>
              <w:rPr>
                <w:spacing w:val="6"/>
              </w:rPr>
              <w:t>的规定由转让方、受让方各自承担，若国家和地方法律法规规章未有相关规</w:t>
            </w:r>
            <w:r>
              <w:rPr>
                <w:spacing w:val="5"/>
              </w:rPr>
              <w:t>定的，由</w:t>
            </w:r>
            <w:r>
              <w:rPr>
                <w:spacing w:val="1"/>
              </w:rPr>
              <w:t>受让方承担。</w:t>
            </w:r>
          </w:p>
          <w:p w14:paraId="0F3D42CD">
            <w:pPr>
              <w:pStyle w:val="7"/>
              <w:spacing w:before="72" w:line="191" w:lineRule="auto"/>
              <w:ind w:left="98"/>
            </w:pPr>
            <w:r>
              <w:rPr>
                <w:spacing w:val="5"/>
              </w:rPr>
              <w:t>6、本项目交易条件以本项目“交易系统”披露信息及附件资产转让合同</w:t>
            </w:r>
            <w:r>
              <w:rPr>
                <w:spacing w:val="4"/>
              </w:rPr>
              <w:t>为准。</w:t>
            </w:r>
          </w:p>
        </w:tc>
      </w:tr>
      <w:tr w14:paraId="641C06A5">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1259" w:hRule="atLeast"/>
        </w:trPr>
        <w:tc>
          <w:tcPr>
            <w:tcW w:w="1597" w:type="dxa"/>
            <w:vMerge w:val="restart"/>
            <w:tcBorders>
              <w:top w:val="single" w:color="DDDDDD" w:sz="6" w:space="0"/>
              <w:bottom w:val="nil"/>
            </w:tcBorders>
            <w:vAlign w:val="top"/>
          </w:tcPr>
          <w:p w14:paraId="37727765">
            <w:pPr>
              <w:spacing w:line="280" w:lineRule="auto"/>
              <w:rPr>
                <w:rFonts w:ascii="Arial"/>
                <w:sz w:val="21"/>
              </w:rPr>
            </w:pPr>
          </w:p>
          <w:p w14:paraId="4031035B">
            <w:pPr>
              <w:spacing w:line="280" w:lineRule="auto"/>
              <w:rPr>
                <w:rFonts w:ascii="Arial"/>
                <w:sz w:val="21"/>
              </w:rPr>
            </w:pPr>
          </w:p>
          <w:p w14:paraId="3FFC0C3E">
            <w:pPr>
              <w:spacing w:line="280" w:lineRule="auto"/>
              <w:rPr>
                <w:rFonts w:ascii="Arial"/>
                <w:sz w:val="21"/>
              </w:rPr>
            </w:pPr>
          </w:p>
          <w:p w14:paraId="057504D9">
            <w:pPr>
              <w:pStyle w:val="7"/>
              <w:spacing w:before="51" w:line="190" w:lineRule="auto"/>
              <w:ind w:left="79"/>
            </w:pPr>
            <w:r>
              <w:rPr>
                <w:b/>
                <w:bCs/>
                <w:spacing w:val="5"/>
              </w:rPr>
              <w:t>受让方资格条件</w:t>
            </w:r>
          </w:p>
        </w:tc>
        <w:tc>
          <w:tcPr>
            <w:tcW w:w="1592" w:type="dxa"/>
            <w:tcBorders>
              <w:top w:val="single" w:color="DDDDDD" w:sz="6" w:space="0"/>
            </w:tcBorders>
            <w:vAlign w:val="top"/>
          </w:tcPr>
          <w:p w14:paraId="4490F51B">
            <w:pPr>
              <w:spacing w:line="254" w:lineRule="auto"/>
              <w:rPr>
                <w:rFonts w:ascii="Arial"/>
                <w:sz w:val="21"/>
              </w:rPr>
            </w:pPr>
          </w:p>
          <w:p w14:paraId="5E297E4E">
            <w:pPr>
              <w:spacing w:line="255" w:lineRule="auto"/>
              <w:rPr>
                <w:rFonts w:ascii="Arial"/>
                <w:sz w:val="21"/>
              </w:rPr>
            </w:pPr>
          </w:p>
          <w:p w14:paraId="1093ECA4">
            <w:pPr>
              <w:pStyle w:val="7"/>
              <w:spacing w:before="51" w:line="190" w:lineRule="auto"/>
              <w:ind w:left="75"/>
            </w:pPr>
            <w:r>
              <w:rPr>
                <w:b/>
                <w:bCs/>
                <w:spacing w:val="5"/>
              </w:rPr>
              <w:t>受让方资格条件</w:t>
            </w:r>
          </w:p>
        </w:tc>
        <w:tc>
          <w:tcPr>
            <w:tcW w:w="4888" w:type="dxa"/>
            <w:tcBorders>
              <w:top w:val="single" w:color="DDDDDD" w:sz="6" w:space="0"/>
              <w:bottom w:val="single" w:color="DDDDDD" w:sz="2" w:space="0"/>
              <w:right w:val="single" w:color="DDDDDD" w:sz="2" w:space="0"/>
            </w:tcBorders>
            <w:vAlign w:val="top"/>
          </w:tcPr>
          <w:p w14:paraId="35FA44B8">
            <w:pPr>
              <w:pStyle w:val="7"/>
              <w:spacing w:before="113" w:line="191" w:lineRule="auto"/>
              <w:ind w:left="104"/>
            </w:pPr>
            <w:r>
              <w:rPr>
                <w:spacing w:val="5"/>
              </w:rPr>
              <w:t>1、合法有效存续的法人、非法人组织或具有完全</w:t>
            </w:r>
            <w:r>
              <w:rPr>
                <w:spacing w:val="4"/>
              </w:rPr>
              <w:t>民事行为能力的自然人。</w:t>
            </w:r>
          </w:p>
          <w:p w14:paraId="1B222D60">
            <w:pPr>
              <w:pStyle w:val="7"/>
              <w:spacing w:before="17" w:line="196" w:lineRule="auto"/>
              <w:ind w:left="96" w:right="182" w:firstLine="2"/>
            </w:pPr>
            <w:r>
              <w:rPr>
                <w:spacing w:val="6"/>
              </w:rPr>
              <w:t>2、未被列入人民法院失信被执行人名单【竞买人在福建省</w:t>
            </w:r>
            <w:r>
              <w:rPr>
                <w:spacing w:val="5"/>
              </w:rPr>
              <w:t>失信被执行人联合惩戒平</w:t>
            </w:r>
            <w:r>
              <w:rPr>
                <w:spacing w:val="6"/>
              </w:rPr>
              <w:t>台查询情况竞买人不存在失信记录；竞买人在中国</w:t>
            </w:r>
            <w:r>
              <w:rPr>
                <w:spacing w:val="5"/>
              </w:rPr>
              <w:t>执行信息公开网</w:t>
            </w:r>
          </w:p>
          <w:p w14:paraId="67975DF9">
            <w:pPr>
              <w:pStyle w:val="7"/>
              <w:spacing w:line="218" w:lineRule="auto"/>
              <w:ind w:left="113"/>
            </w:pPr>
            <w:r>
              <w:rPr>
                <w:spacing w:val="5"/>
              </w:rPr>
              <w:t>（</w:t>
            </w:r>
            <w:r>
              <w:fldChar w:fldCharType="begin"/>
            </w:r>
            <w:r>
              <w:instrText xml:space="preserve"> HYPERLINK "http://zxgk.court.gov.cn/" </w:instrText>
            </w:r>
            <w:r>
              <w:fldChar w:fldCharType="separate"/>
            </w:r>
            <w:r>
              <w:t>http</w:t>
            </w:r>
            <w:r>
              <w:rPr>
                <w:spacing w:val="5"/>
              </w:rPr>
              <w:t>://</w:t>
            </w:r>
            <w:r>
              <w:t>zxgk</w:t>
            </w:r>
            <w:r>
              <w:rPr>
                <w:spacing w:val="5"/>
              </w:rPr>
              <w:t>.</w:t>
            </w:r>
            <w:r>
              <w:t>court</w:t>
            </w:r>
            <w:r>
              <w:rPr>
                <w:spacing w:val="5"/>
              </w:rPr>
              <w:t>.</w:t>
            </w:r>
            <w:r>
              <w:t>gov</w:t>
            </w:r>
            <w:r>
              <w:rPr>
                <w:spacing w:val="5"/>
              </w:rPr>
              <w:t>.</w:t>
            </w:r>
            <w:r>
              <w:t>cn</w:t>
            </w:r>
            <w:r>
              <w:rPr>
                <w:spacing w:val="5"/>
              </w:rPr>
              <w:t>/</w:t>
            </w:r>
            <w:r>
              <w:rPr>
                <w:spacing w:val="5"/>
              </w:rPr>
              <w:fldChar w:fldCharType="end"/>
            </w:r>
            <w:r>
              <w:rPr>
                <w:spacing w:val="5"/>
              </w:rPr>
              <w:t>）失信被执行人查询没有找到竞买人相关的结果】。</w:t>
            </w:r>
          </w:p>
          <w:p w14:paraId="5E437E10">
            <w:pPr>
              <w:pStyle w:val="7"/>
              <w:spacing w:before="15" w:line="191" w:lineRule="auto"/>
              <w:ind w:left="99"/>
            </w:pPr>
            <w:r>
              <w:rPr>
                <w:spacing w:val="4"/>
              </w:rPr>
              <w:t>3、符合国家法律、行政法规规定的其他条件。</w:t>
            </w:r>
          </w:p>
          <w:p w14:paraId="24C164B5">
            <w:pPr>
              <w:pStyle w:val="7"/>
              <w:spacing w:before="17" w:line="190" w:lineRule="auto"/>
              <w:ind w:left="92"/>
            </w:pPr>
            <w:r>
              <w:rPr>
                <w:spacing w:val="3"/>
              </w:rPr>
              <w:t>4、不接受联合体受让。</w:t>
            </w:r>
          </w:p>
        </w:tc>
      </w:tr>
      <w:tr w14:paraId="5646FCCB">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7" w:type="dxa"/>
            <w:vMerge w:val="continue"/>
            <w:tcBorders>
              <w:top w:val="nil"/>
              <w:bottom w:val="nil"/>
            </w:tcBorders>
            <w:vAlign w:val="top"/>
          </w:tcPr>
          <w:p w14:paraId="481E51BB">
            <w:pPr>
              <w:rPr>
                <w:rFonts w:ascii="Arial"/>
                <w:sz w:val="21"/>
              </w:rPr>
            </w:pPr>
          </w:p>
        </w:tc>
        <w:tc>
          <w:tcPr>
            <w:tcW w:w="1592" w:type="dxa"/>
            <w:vAlign w:val="top"/>
          </w:tcPr>
          <w:p w14:paraId="13E2A2D3">
            <w:pPr>
              <w:pStyle w:val="7"/>
              <w:spacing w:before="100" w:line="190" w:lineRule="auto"/>
              <w:ind w:left="74"/>
            </w:pPr>
            <w:r>
              <w:rPr>
                <w:b/>
                <w:bCs/>
                <w:spacing w:val="5"/>
              </w:rPr>
              <w:t>报名提交材料</w:t>
            </w:r>
          </w:p>
        </w:tc>
        <w:tc>
          <w:tcPr>
            <w:tcW w:w="4888" w:type="dxa"/>
            <w:tcBorders>
              <w:top w:val="single" w:color="DDDDDD" w:sz="2" w:space="0"/>
              <w:bottom w:val="single" w:color="DDDDDD" w:sz="2" w:space="0"/>
              <w:right w:val="single" w:color="DDDDDD" w:sz="2" w:space="0"/>
            </w:tcBorders>
            <w:vAlign w:val="top"/>
          </w:tcPr>
          <w:p w14:paraId="2533A664">
            <w:pPr>
              <w:pStyle w:val="7"/>
              <w:spacing w:before="100" w:line="190" w:lineRule="auto"/>
              <w:ind w:left="74"/>
            </w:pPr>
            <w:r>
              <w:rPr>
                <w:spacing w:val="5"/>
              </w:rPr>
              <w:t>根据公告要求，在公告期内提供相应报名材料</w:t>
            </w:r>
          </w:p>
        </w:tc>
      </w:tr>
      <w:tr w14:paraId="43319F70">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33" w:hRule="atLeast"/>
        </w:trPr>
        <w:tc>
          <w:tcPr>
            <w:tcW w:w="1597" w:type="dxa"/>
            <w:vMerge w:val="continue"/>
            <w:tcBorders>
              <w:top w:val="nil"/>
              <w:bottom w:val="single" w:color="DDDDDD" w:sz="6" w:space="0"/>
            </w:tcBorders>
            <w:vAlign w:val="top"/>
          </w:tcPr>
          <w:p w14:paraId="6088A602">
            <w:pPr>
              <w:rPr>
                <w:rFonts w:ascii="Arial"/>
                <w:sz w:val="21"/>
              </w:rPr>
            </w:pPr>
          </w:p>
        </w:tc>
        <w:tc>
          <w:tcPr>
            <w:tcW w:w="1592" w:type="dxa"/>
            <w:tcBorders>
              <w:bottom w:val="single" w:color="DDDDDD" w:sz="6" w:space="0"/>
            </w:tcBorders>
            <w:vAlign w:val="top"/>
          </w:tcPr>
          <w:p w14:paraId="62844DC8">
            <w:pPr>
              <w:pStyle w:val="7"/>
              <w:spacing w:before="100" w:line="190" w:lineRule="auto"/>
              <w:ind w:left="74"/>
            </w:pPr>
            <w:r>
              <w:rPr>
                <w:b/>
                <w:bCs/>
                <w:spacing w:val="5"/>
              </w:rPr>
              <w:t>报名材料</w:t>
            </w:r>
          </w:p>
        </w:tc>
        <w:tc>
          <w:tcPr>
            <w:tcW w:w="4888" w:type="dxa"/>
            <w:tcBorders>
              <w:top w:val="single" w:color="DDDDDD" w:sz="2" w:space="0"/>
              <w:bottom w:val="single" w:color="DDDDDD" w:sz="6" w:space="0"/>
              <w:right w:val="single" w:color="DDDDDD" w:sz="2" w:space="0"/>
            </w:tcBorders>
            <w:vAlign w:val="top"/>
          </w:tcPr>
          <w:p w14:paraId="4D51C0D9">
            <w:pPr>
              <w:pStyle w:val="7"/>
              <w:spacing w:before="165" w:line="96" w:lineRule="exact"/>
              <w:ind w:left="72"/>
            </w:pPr>
            <w:r>
              <w:rPr>
                <w:spacing w:val="6"/>
                <w:position w:val="-1"/>
              </w:rPr>
              <w:t>——</w:t>
            </w:r>
          </w:p>
        </w:tc>
      </w:tr>
      <w:tr w14:paraId="4027F456">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1681" w:hRule="atLeast"/>
        </w:trPr>
        <w:tc>
          <w:tcPr>
            <w:tcW w:w="1597" w:type="dxa"/>
            <w:tcBorders>
              <w:top w:val="single" w:color="DDDDDD" w:sz="6" w:space="0"/>
              <w:bottom w:val="nil"/>
            </w:tcBorders>
            <w:vAlign w:val="top"/>
          </w:tcPr>
          <w:p w14:paraId="1919FED1">
            <w:pPr>
              <w:rPr>
                <w:rFonts w:ascii="Arial"/>
                <w:sz w:val="21"/>
              </w:rPr>
            </w:pPr>
          </w:p>
        </w:tc>
        <w:tc>
          <w:tcPr>
            <w:tcW w:w="6480" w:type="dxa"/>
            <w:gridSpan w:val="2"/>
            <w:tcBorders>
              <w:top w:val="single" w:color="DDDDDD" w:sz="6" w:space="0"/>
              <w:bottom w:val="nil"/>
              <w:right w:val="single" w:color="DDDDDD" w:sz="2" w:space="0"/>
            </w:tcBorders>
            <w:vAlign w:val="top"/>
          </w:tcPr>
          <w:p w14:paraId="71C82291">
            <w:pPr>
              <w:pStyle w:val="7"/>
              <w:spacing w:before="85" w:line="225" w:lineRule="auto"/>
              <w:ind w:left="93" w:right="150" w:firstLine="8"/>
            </w:pPr>
            <w:r>
              <w:rPr>
                <w:b/>
                <w:bCs/>
                <w:spacing w:val="6"/>
              </w:rPr>
              <w:t>1、本次转让活动通过福建省产权交易中心有限公司交易系统（</w:t>
            </w:r>
            <w:r>
              <w:rPr>
                <w:b/>
                <w:bCs/>
                <w:spacing w:val="-20"/>
              </w:rPr>
              <w:t xml:space="preserve"> </w:t>
            </w:r>
            <w:r>
              <w:fldChar w:fldCharType="begin"/>
            </w:r>
            <w:r>
              <w:instrText xml:space="preserve"> HYPERLINK "https://biz.fjcqjy.com/#/login" </w:instrText>
            </w:r>
            <w:r>
              <w:fldChar w:fldCharType="separate"/>
            </w:r>
            <w:r>
              <w:rPr>
                <w:b/>
                <w:bCs/>
              </w:rPr>
              <w:t>https</w:t>
            </w:r>
            <w:r>
              <w:rPr>
                <w:b/>
                <w:bCs/>
                <w:spacing w:val="6"/>
              </w:rPr>
              <w:t>://</w:t>
            </w:r>
            <w:r>
              <w:rPr>
                <w:b/>
                <w:bCs/>
              </w:rPr>
              <w:t>biz</w:t>
            </w:r>
            <w:r>
              <w:rPr>
                <w:b/>
                <w:bCs/>
                <w:spacing w:val="6"/>
              </w:rPr>
              <w:t>.</w:t>
            </w:r>
            <w:r>
              <w:rPr>
                <w:b/>
                <w:bCs/>
              </w:rPr>
              <w:t>fjcqjy</w:t>
            </w:r>
            <w:r>
              <w:rPr>
                <w:b/>
                <w:bCs/>
                <w:spacing w:val="6"/>
              </w:rPr>
              <w:t>.</w:t>
            </w:r>
            <w:r>
              <w:rPr>
                <w:b/>
                <w:bCs/>
              </w:rPr>
              <w:t>com</w:t>
            </w:r>
            <w:r>
              <w:rPr>
                <w:b/>
                <w:bCs/>
                <w:spacing w:val="6"/>
              </w:rPr>
              <w:t>/#/</w:t>
            </w:r>
            <w:r>
              <w:rPr>
                <w:b/>
                <w:bCs/>
              </w:rPr>
              <w:t>login</w:t>
            </w:r>
            <w:r>
              <w:rPr>
                <w:b/>
                <w:bCs/>
              </w:rPr>
              <w:fldChar w:fldCharType="end"/>
            </w:r>
            <w:r>
              <w:rPr>
                <w:b/>
                <w:bCs/>
                <w:spacing w:val="9"/>
              </w:rPr>
              <w:t>）（</w:t>
            </w:r>
            <w:r>
              <w:rPr>
                <w:b/>
                <w:bCs/>
                <w:spacing w:val="6"/>
              </w:rPr>
              <w:t>以下简称</w:t>
            </w:r>
            <w:r>
              <w:rPr>
                <w:b/>
                <w:bCs/>
                <w:spacing w:val="7"/>
              </w:rPr>
              <w:t>“交易系统”）实施，竞买人报名、保证金缴纳、竞价、成交确认、资金划转等交易事宜全部通过“交易系统”</w:t>
            </w:r>
            <w:r>
              <w:rPr>
                <w:b/>
                <w:bCs/>
                <w:spacing w:val="-3"/>
              </w:rPr>
              <w:t>完成。</w:t>
            </w:r>
          </w:p>
          <w:p w14:paraId="23973F29">
            <w:pPr>
              <w:pStyle w:val="7"/>
              <w:spacing w:before="77" w:line="217" w:lineRule="auto"/>
              <w:ind w:left="91" w:right="200" w:firstLine="4"/>
            </w:pPr>
            <w:r>
              <w:rPr>
                <w:b/>
                <w:bCs/>
                <w:spacing w:val="6"/>
              </w:rPr>
              <w:t>2、竞买人须在本项目公告截止当日17：00前通过“交易系统”或</w:t>
            </w:r>
            <w:r>
              <w:rPr>
                <w:b/>
                <w:bCs/>
                <w:spacing w:val="5"/>
              </w:rPr>
              <w:t>“福建省产权交易中心微信小程序”完成对本</w:t>
            </w:r>
            <w:r>
              <w:rPr>
                <w:b/>
                <w:bCs/>
                <w:spacing w:val="6"/>
              </w:rPr>
              <w:t>项目的线上报名申请、交纳交易保证金，否则视为报名无效。报名完成后通过资格审核的竞买人方可参与</w:t>
            </w:r>
            <w:r>
              <w:rPr>
                <w:b/>
                <w:bCs/>
                <w:spacing w:val="5"/>
              </w:rPr>
              <w:t>本项目</w:t>
            </w:r>
            <w:r>
              <w:rPr>
                <w:b/>
                <w:bCs/>
                <w:spacing w:val="-3"/>
              </w:rPr>
              <w:t>竞价。</w:t>
            </w:r>
          </w:p>
          <w:p w14:paraId="5BA21E09">
            <w:pPr>
              <w:pStyle w:val="7"/>
              <w:spacing w:before="71" w:line="174" w:lineRule="auto"/>
              <w:ind w:left="91" w:right="135" w:firstLine="8"/>
            </w:pPr>
            <w:r>
              <w:rPr>
                <w:b/>
                <w:bCs/>
                <w:spacing w:val="4"/>
              </w:rPr>
              <w:t>3、福建省产权交易中心有限公司（以下简称“产权交易机构”）  、转让方对转让标的品质和状况不作担保，转让</w:t>
            </w:r>
            <w:r>
              <w:rPr>
                <w:b/>
                <w:bCs/>
                <w:spacing w:val="6"/>
              </w:rPr>
              <w:t>标的品质和状况以现状为准，竞买人应当在报名前对转让标的进行尽职调查（看样），并在充分调查的前</w:t>
            </w:r>
            <w:r>
              <w:rPr>
                <w:b/>
                <w:bCs/>
                <w:spacing w:val="5"/>
              </w:rPr>
              <w:t>提下报</w:t>
            </w:r>
          </w:p>
        </w:tc>
      </w:tr>
    </w:tbl>
    <w:p w14:paraId="3804A5D7">
      <w:pPr>
        <w:pStyle w:val="2"/>
        <w:spacing w:before="43" w:line="218" w:lineRule="exact"/>
        <w:jc w:val="right"/>
      </w:pPr>
      <w:r>
        <w:rPr>
          <w:spacing w:val="14"/>
          <w:position w:val="3"/>
        </w:rPr>
        <w:t>1/6</w:t>
      </w:r>
    </w:p>
    <w:p w14:paraId="3AC25490">
      <w:pPr>
        <w:spacing w:line="218" w:lineRule="exact"/>
        <w:sectPr>
          <w:headerReference r:id="rId5" w:type="default"/>
          <w:pgSz w:w="11900" w:h="16839"/>
          <w:pgMar w:top="515" w:right="475" w:bottom="0" w:left="484" w:header="269" w:footer="0" w:gutter="0"/>
          <w:cols w:space="720" w:num="1"/>
        </w:sectPr>
      </w:pPr>
    </w:p>
    <w:p w14:paraId="1933BC4F">
      <w:pPr>
        <w:spacing w:line="159" w:lineRule="exact"/>
        <w:ind w:left="6033"/>
        <w:rPr>
          <w:rFonts w:ascii="微软雅黑" w:hAnsi="微软雅黑" w:eastAsia="微软雅黑" w:cs="微软雅黑"/>
          <w:sz w:val="15"/>
          <w:szCs w:val="15"/>
        </w:rPr>
      </w:pPr>
      <w:r>
        <w:pict>
          <v:shape id="_x0000_s1029" o:spid="_x0000_s1029" o:spt="202" type="#_x0000_t202" style="position:absolute;left:0pt;margin-left:-1pt;margin-top:-3.75pt;height:12.9pt;width:59.6pt;z-index:251662336;mso-width-relative:page;mso-height-relative:page;" filled="f" stroked="f" coordsize="21600,21600">
            <v:path/>
            <v:fill on="f" focussize="0,0"/>
            <v:stroke on="f"/>
            <v:imagedata o:title=""/>
            <o:lock v:ext="edit" aspectratio="f"/>
            <v:textbox inset="0mm,0mm,0mm,0mm">
              <w:txbxContent>
                <w:p w14:paraId="1408C39E">
                  <w:pPr>
                    <w:pStyle w:val="2"/>
                    <w:spacing w:before="20" w:line="217" w:lineRule="exact"/>
                    <w:ind w:left="20"/>
                  </w:pPr>
                </w:p>
              </w:txbxContent>
            </v:textbox>
          </v:shape>
        </w:pict>
      </w:r>
      <w:r>
        <w:pict>
          <v:shape id="_x0000_s1030" o:spid="_x0000_s1030" o:spt="202" type="#_x0000_t202" style="position:absolute;left:0pt;margin-left:155.4pt;margin-top:5.15pt;height:10.2pt;width:310.65pt;z-index:-251656192;mso-width-relative:page;mso-height-relative:page;" filled="f" stroked="f" coordsize="21600,21600">
            <v:path/>
            <v:fill on="f" focussize="0,0"/>
            <v:stroke on="f"/>
            <v:imagedata o:title=""/>
            <o:lock v:ext="edit" aspectratio="f"/>
            <v:textbox inset="0mm,0mm,0mm,0mm">
              <w:txbxContent>
                <w:p w14:paraId="3A276C77">
                  <w:pPr>
                    <w:spacing w:before="19" w:line="191" w:lineRule="auto"/>
                    <w:ind w:left="20"/>
                    <w:rPr>
                      <w:rFonts w:ascii="微软雅黑" w:hAnsi="微软雅黑" w:eastAsia="微软雅黑" w:cs="微软雅黑"/>
                      <w:sz w:val="12"/>
                      <w:szCs w:val="12"/>
                    </w:rPr>
                  </w:pPr>
                </w:p>
              </w:txbxContent>
            </v:textbox>
          </v:shape>
        </w:pict>
      </w:r>
    </w:p>
    <w:p w14:paraId="01ED5FC1">
      <w:pPr>
        <w:spacing w:line="70" w:lineRule="exact"/>
      </w:pPr>
    </w:p>
    <w:tbl>
      <w:tblPr>
        <w:tblStyle w:val="6"/>
        <w:tblW w:w="8076" w:type="dxa"/>
        <w:tblInd w:w="1437" w:type="dxa"/>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0" w:type="dxa"/>
          <w:bottom w:w="0" w:type="dxa"/>
          <w:right w:w="0" w:type="dxa"/>
        </w:tblCellMar>
      </w:tblPr>
      <w:tblGrid>
        <w:gridCol w:w="1596"/>
        <w:gridCol w:w="81"/>
        <w:gridCol w:w="1511"/>
        <w:gridCol w:w="1052"/>
        <w:gridCol w:w="1232"/>
        <w:gridCol w:w="360"/>
        <w:gridCol w:w="2168"/>
        <w:gridCol w:w="76"/>
      </w:tblGrid>
      <w:tr w14:paraId="1125719D">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2484" w:hRule="atLeast"/>
        </w:trPr>
        <w:tc>
          <w:tcPr>
            <w:tcW w:w="1596" w:type="dxa"/>
            <w:tcBorders>
              <w:top w:val="nil"/>
              <w:bottom w:val="single" w:color="DDDDDD" w:sz="6" w:space="0"/>
            </w:tcBorders>
            <w:vAlign w:val="top"/>
          </w:tcPr>
          <w:p w14:paraId="4CC0980D">
            <w:pPr>
              <w:spacing w:line="289" w:lineRule="auto"/>
              <w:rPr>
                <w:rFonts w:ascii="Arial"/>
                <w:sz w:val="21"/>
              </w:rPr>
            </w:pPr>
          </w:p>
          <w:p w14:paraId="30D1627A">
            <w:pPr>
              <w:pStyle w:val="7"/>
              <w:spacing w:before="52" w:line="190" w:lineRule="auto"/>
              <w:ind w:left="78"/>
            </w:pPr>
            <w:r>
              <w:rPr>
                <w:b/>
                <w:bCs/>
                <w:spacing w:val="5"/>
              </w:rPr>
              <w:t>重大事项及其他披露内容</w:t>
            </w:r>
          </w:p>
        </w:tc>
        <w:tc>
          <w:tcPr>
            <w:tcW w:w="6480" w:type="dxa"/>
            <w:gridSpan w:val="7"/>
            <w:tcBorders>
              <w:top w:val="nil"/>
              <w:bottom w:val="single" w:color="DDDDDD" w:sz="6" w:space="0"/>
              <w:right w:val="single" w:color="DDDDDD" w:sz="2" w:space="0"/>
            </w:tcBorders>
            <w:vAlign w:val="top"/>
          </w:tcPr>
          <w:p w14:paraId="12AE36A4">
            <w:pPr>
              <w:pStyle w:val="7"/>
              <w:spacing w:before="72" w:line="210" w:lineRule="auto"/>
              <w:ind w:left="92" w:right="172"/>
            </w:pPr>
            <w:r>
              <w:rPr>
                <w:b/>
                <w:bCs/>
                <w:spacing w:val="6"/>
              </w:rPr>
              <w:t>名参与竞价，放弃尽职调查均视为已全面行使了知情权，并认可转让标的品质与现状。竞买人一旦交纳交</w:t>
            </w:r>
            <w:r>
              <w:rPr>
                <w:b/>
                <w:bCs/>
                <w:spacing w:val="5"/>
              </w:rPr>
              <w:t>易保证</w:t>
            </w:r>
            <w:r>
              <w:rPr>
                <w:b/>
                <w:bCs/>
                <w:spacing w:val="4"/>
              </w:rPr>
              <w:t>金即表示愿以不低于本项目的挂牌价受让，并愿意通过本项目公告确定的竞价方式进行报价确定受让方，   同时表</w:t>
            </w:r>
            <w:r>
              <w:rPr>
                <w:b/>
                <w:bCs/>
                <w:spacing w:val="6"/>
              </w:rPr>
              <w:t>示已充分了解并接受本项目公告及相关附件的全部内</w:t>
            </w:r>
            <w:r>
              <w:rPr>
                <w:b/>
                <w:bCs/>
                <w:spacing w:val="5"/>
              </w:rPr>
              <w:t>容及要求，充分了解并接受标的一切现状（包括但不限于：</w:t>
            </w:r>
          </w:p>
          <w:p w14:paraId="11D29C26">
            <w:pPr>
              <w:pStyle w:val="7"/>
              <w:spacing w:line="218" w:lineRule="auto"/>
              <w:ind w:left="92" w:right="209"/>
            </w:pPr>
            <w:r>
              <w:rPr>
                <w:b/>
                <w:bCs/>
                <w:spacing w:val="6"/>
              </w:rPr>
              <w:t>瑕疵、缺陷和投资风险等），接受本项目公告提出的转让要求，不可撤销地放弃对此提出任何异议或任何</w:t>
            </w:r>
            <w:r>
              <w:rPr>
                <w:b/>
                <w:bCs/>
                <w:spacing w:val="5"/>
              </w:rPr>
              <w:t>索赔的</w:t>
            </w:r>
            <w:r>
              <w:rPr>
                <w:b/>
                <w:bCs/>
                <w:spacing w:val="-2"/>
              </w:rPr>
              <w:t>权利。</w:t>
            </w:r>
          </w:p>
          <w:p w14:paraId="196F7A30">
            <w:pPr>
              <w:pStyle w:val="7"/>
              <w:spacing w:before="75" w:line="220" w:lineRule="auto"/>
              <w:ind w:left="92" w:right="132"/>
            </w:pPr>
            <w:r>
              <w:rPr>
                <w:b/>
                <w:bCs/>
                <w:spacing w:val="6"/>
              </w:rPr>
              <w:t>4、交易过程中转让方、产权交易机构及其工作人员向竞买人、受让方提供的包括但不限于政策咨询</w:t>
            </w:r>
            <w:r>
              <w:rPr>
                <w:b/>
                <w:bCs/>
                <w:spacing w:val="5"/>
              </w:rPr>
              <w:t>、标的情况的描述、说明等仅作为参考，竞买人、受让方应自行把握交易风险，审慎决策。</w:t>
            </w:r>
          </w:p>
          <w:p w14:paraId="2FDEDB1D">
            <w:pPr>
              <w:pStyle w:val="7"/>
              <w:spacing w:before="73" w:line="220" w:lineRule="auto"/>
              <w:ind w:left="92" w:right="132" w:firstLine="8"/>
            </w:pPr>
            <w:r>
              <w:rPr>
                <w:b/>
                <w:bCs/>
                <w:spacing w:val="6"/>
              </w:rPr>
              <w:t>5、若在看样期至转让标的移交日期间现场发生变化，最终解释权归转让方所有，</w:t>
            </w:r>
            <w:r>
              <w:rPr>
                <w:b/>
                <w:bCs/>
                <w:spacing w:val="5"/>
              </w:rPr>
              <w:t>产权交易机构不对现场状况进行</w:t>
            </w:r>
            <w:r>
              <w:rPr>
                <w:b/>
                <w:bCs/>
                <w:spacing w:val="4"/>
              </w:rPr>
              <w:t>保证及现场状况变化解释，不承担任何责任。</w:t>
            </w:r>
          </w:p>
          <w:p w14:paraId="0CF4A038">
            <w:pPr>
              <w:pStyle w:val="7"/>
              <w:spacing w:before="45" w:line="228" w:lineRule="auto"/>
              <w:ind w:left="92" w:right="132" w:firstLine="5"/>
            </w:pPr>
            <w:r>
              <w:rPr>
                <w:b/>
                <w:bCs/>
                <w:spacing w:val="6"/>
              </w:rPr>
              <w:t>6、所有（或仅有一名）资格审核合格的竞买人参加网络竞价，但全程均不报（应）价，</w:t>
            </w:r>
            <w:r>
              <w:rPr>
                <w:b/>
                <w:bCs/>
                <w:spacing w:val="5"/>
              </w:rPr>
              <w:t>其交纳的交易保证金不予</w:t>
            </w:r>
            <w:r>
              <w:rPr>
                <w:b/>
                <w:bCs/>
                <w:spacing w:val="4"/>
              </w:rPr>
              <w:t>返还，将按照本项目交易系统公告的规定进行处置。</w:t>
            </w:r>
          </w:p>
        </w:tc>
      </w:tr>
      <w:tr w14:paraId="0CC311A9">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7" w:hRule="atLeast"/>
        </w:trPr>
        <w:tc>
          <w:tcPr>
            <w:tcW w:w="1596" w:type="dxa"/>
            <w:tcBorders>
              <w:top w:val="single" w:color="DDDDDD" w:sz="6" w:space="0"/>
              <w:bottom w:val="single" w:color="DDDDDD" w:sz="6" w:space="0"/>
            </w:tcBorders>
            <w:vAlign w:val="top"/>
          </w:tcPr>
          <w:p w14:paraId="7849C645">
            <w:pPr>
              <w:pStyle w:val="7"/>
              <w:spacing w:before="93" w:line="190" w:lineRule="auto"/>
              <w:ind w:left="77"/>
            </w:pPr>
            <w:r>
              <w:rPr>
                <w:b/>
                <w:bCs/>
                <w:spacing w:val="5"/>
              </w:rPr>
              <w:t>企业管理层是否参与受让</w:t>
            </w:r>
          </w:p>
        </w:tc>
        <w:tc>
          <w:tcPr>
            <w:tcW w:w="6480" w:type="dxa"/>
            <w:gridSpan w:val="7"/>
            <w:tcBorders>
              <w:top w:val="single" w:color="DDDDDD" w:sz="6" w:space="0"/>
              <w:bottom w:val="single" w:color="DDDDDD" w:sz="6" w:space="0"/>
              <w:right w:val="single" w:color="DDDDDD" w:sz="2" w:space="0"/>
            </w:tcBorders>
            <w:vAlign w:val="top"/>
          </w:tcPr>
          <w:p w14:paraId="6EBB84F1">
            <w:pPr>
              <w:pStyle w:val="7"/>
              <w:spacing w:before="93" w:line="190" w:lineRule="auto"/>
              <w:ind w:left="73"/>
            </w:pPr>
            <w:r>
              <w:rPr>
                <w:spacing w:val="5"/>
              </w:rPr>
              <w:t>不参与</w:t>
            </w:r>
          </w:p>
        </w:tc>
      </w:tr>
      <w:tr w14:paraId="69185716">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2" w:hRule="atLeast"/>
        </w:trPr>
        <w:tc>
          <w:tcPr>
            <w:tcW w:w="1596" w:type="dxa"/>
            <w:vMerge w:val="restart"/>
            <w:tcBorders>
              <w:top w:val="single" w:color="DDDDDD" w:sz="6" w:space="0"/>
              <w:bottom w:val="nil"/>
            </w:tcBorders>
            <w:vAlign w:val="top"/>
          </w:tcPr>
          <w:p w14:paraId="4C60BFEF">
            <w:pPr>
              <w:spacing w:line="242" w:lineRule="auto"/>
              <w:rPr>
                <w:rFonts w:ascii="Arial"/>
                <w:sz w:val="21"/>
              </w:rPr>
            </w:pPr>
          </w:p>
          <w:p w14:paraId="093AE1D2">
            <w:pPr>
              <w:spacing w:line="242" w:lineRule="auto"/>
              <w:rPr>
                <w:rFonts w:ascii="Arial"/>
                <w:sz w:val="21"/>
              </w:rPr>
            </w:pPr>
          </w:p>
          <w:p w14:paraId="078BD46A">
            <w:pPr>
              <w:spacing w:line="242" w:lineRule="auto"/>
              <w:rPr>
                <w:rFonts w:ascii="Arial"/>
                <w:sz w:val="21"/>
              </w:rPr>
            </w:pPr>
          </w:p>
          <w:p w14:paraId="125A1205">
            <w:pPr>
              <w:spacing w:line="242" w:lineRule="auto"/>
              <w:rPr>
                <w:rFonts w:ascii="Arial"/>
                <w:sz w:val="21"/>
              </w:rPr>
            </w:pPr>
          </w:p>
          <w:p w14:paraId="1745E279">
            <w:pPr>
              <w:spacing w:line="242" w:lineRule="auto"/>
              <w:rPr>
                <w:rFonts w:ascii="Arial"/>
                <w:sz w:val="21"/>
              </w:rPr>
            </w:pPr>
          </w:p>
          <w:p w14:paraId="090D8783">
            <w:pPr>
              <w:spacing w:line="242" w:lineRule="auto"/>
              <w:rPr>
                <w:rFonts w:ascii="Arial"/>
                <w:sz w:val="21"/>
              </w:rPr>
            </w:pPr>
          </w:p>
          <w:p w14:paraId="5539CCDC">
            <w:pPr>
              <w:spacing w:line="242" w:lineRule="auto"/>
              <w:rPr>
                <w:rFonts w:ascii="Arial"/>
                <w:sz w:val="21"/>
              </w:rPr>
            </w:pPr>
          </w:p>
          <w:p w14:paraId="79C33AD7">
            <w:pPr>
              <w:spacing w:line="242" w:lineRule="auto"/>
              <w:rPr>
                <w:rFonts w:ascii="Arial"/>
                <w:sz w:val="21"/>
              </w:rPr>
            </w:pPr>
          </w:p>
          <w:p w14:paraId="29070E91">
            <w:pPr>
              <w:spacing w:line="242" w:lineRule="auto"/>
              <w:rPr>
                <w:rFonts w:ascii="Arial"/>
                <w:sz w:val="21"/>
              </w:rPr>
            </w:pPr>
          </w:p>
          <w:p w14:paraId="50910D94">
            <w:pPr>
              <w:spacing w:line="243" w:lineRule="auto"/>
              <w:rPr>
                <w:rFonts w:ascii="Arial"/>
                <w:sz w:val="21"/>
              </w:rPr>
            </w:pPr>
          </w:p>
          <w:p w14:paraId="07C24B04">
            <w:pPr>
              <w:spacing w:line="243" w:lineRule="auto"/>
              <w:rPr>
                <w:rFonts w:ascii="Arial"/>
                <w:sz w:val="21"/>
              </w:rPr>
            </w:pPr>
          </w:p>
          <w:p w14:paraId="00E593CA">
            <w:pPr>
              <w:spacing w:line="243" w:lineRule="auto"/>
              <w:rPr>
                <w:rFonts w:ascii="Arial"/>
                <w:sz w:val="21"/>
              </w:rPr>
            </w:pPr>
          </w:p>
          <w:p w14:paraId="05F610B6">
            <w:pPr>
              <w:spacing w:line="243" w:lineRule="auto"/>
              <w:rPr>
                <w:rFonts w:ascii="Arial"/>
                <w:sz w:val="21"/>
              </w:rPr>
            </w:pPr>
          </w:p>
          <w:p w14:paraId="57EE2E27">
            <w:pPr>
              <w:spacing w:line="243" w:lineRule="auto"/>
              <w:rPr>
                <w:rFonts w:ascii="Arial"/>
                <w:sz w:val="21"/>
              </w:rPr>
            </w:pPr>
          </w:p>
          <w:p w14:paraId="4F852C23">
            <w:pPr>
              <w:spacing w:line="243" w:lineRule="auto"/>
              <w:rPr>
                <w:rFonts w:ascii="Arial"/>
                <w:sz w:val="21"/>
              </w:rPr>
            </w:pPr>
          </w:p>
          <w:p w14:paraId="5A4E2649">
            <w:pPr>
              <w:spacing w:line="243" w:lineRule="auto"/>
              <w:rPr>
                <w:rFonts w:ascii="Arial"/>
                <w:sz w:val="21"/>
              </w:rPr>
            </w:pPr>
          </w:p>
          <w:p w14:paraId="2245BA45">
            <w:pPr>
              <w:pStyle w:val="7"/>
              <w:spacing w:before="51" w:line="190" w:lineRule="auto"/>
              <w:ind w:left="77"/>
            </w:pPr>
            <w:r>
              <w:rPr>
                <w:b/>
                <w:bCs/>
                <w:spacing w:val="5"/>
              </w:rPr>
              <w:t>保证金条款</w:t>
            </w:r>
          </w:p>
        </w:tc>
        <w:tc>
          <w:tcPr>
            <w:tcW w:w="1592" w:type="dxa"/>
            <w:gridSpan w:val="2"/>
            <w:tcBorders>
              <w:top w:val="single" w:color="DDDDDD" w:sz="6" w:space="0"/>
            </w:tcBorders>
            <w:vAlign w:val="top"/>
          </w:tcPr>
          <w:p w14:paraId="6B777663">
            <w:pPr>
              <w:pStyle w:val="7"/>
              <w:spacing w:before="93" w:line="190" w:lineRule="auto"/>
              <w:ind w:left="74"/>
            </w:pPr>
            <w:r>
              <w:rPr>
                <w:b/>
                <w:bCs/>
                <w:spacing w:val="5"/>
              </w:rPr>
              <w:t>交纳金额</w:t>
            </w:r>
          </w:p>
        </w:tc>
        <w:tc>
          <w:tcPr>
            <w:tcW w:w="4888" w:type="dxa"/>
            <w:gridSpan w:val="5"/>
            <w:tcBorders>
              <w:top w:val="single" w:color="DDDDDD" w:sz="6" w:space="0"/>
              <w:bottom w:val="single" w:color="DDDDDD" w:sz="2" w:space="0"/>
              <w:right w:val="single" w:color="DDDDDD" w:sz="2" w:space="0"/>
            </w:tcBorders>
            <w:vAlign w:val="top"/>
          </w:tcPr>
          <w:p w14:paraId="36776708">
            <w:pPr>
              <w:pStyle w:val="7"/>
              <w:spacing w:before="70" w:line="235" w:lineRule="auto"/>
              <w:ind w:left="81"/>
            </w:pPr>
            <w:r>
              <w:rPr>
                <w:spacing w:val="2"/>
              </w:rPr>
              <w:t>24 万元</w:t>
            </w:r>
          </w:p>
        </w:tc>
      </w:tr>
      <w:tr w14:paraId="39099300">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75882282">
            <w:pPr>
              <w:rPr>
                <w:rFonts w:ascii="Arial"/>
                <w:sz w:val="21"/>
              </w:rPr>
            </w:pPr>
          </w:p>
        </w:tc>
        <w:tc>
          <w:tcPr>
            <w:tcW w:w="1592" w:type="dxa"/>
            <w:gridSpan w:val="2"/>
            <w:vAlign w:val="top"/>
          </w:tcPr>
          <w:p w14:paraId="278E8164">
            <w:pPr>
              <w:pStyle w:val="7"/>
              <w:spacing w:before="99" w:line="190" w:lineRule="auto"/>
              <w:ind w:left="74"/>
            </w:pPr>
            <w:r>
              <w:rPr>
                <w:b/>
                <w:bCs/>
                <w:spacing w:val="5"/>
              </w:rPr>
              <w:t>保证金说明</w:t>
            </w:r>
          </w:p>
        </w:tc>
        <w:tc>
          <w:tcPr>
            <w:tcW w:w="4888" w:type="dxa"/>
            <w:gridSpan w:val="5"/>
            <w:tcBorders>
              <w:top w:val="single" w:color="DDDDDD" w:sz="2" w:space="0"/>
              <w:bottom w:val="single" w:color="DDDDDD" w:sz="2" w:space="0"/>
              <w:right w:val="single" w:color="DDDDDD" w:sz="2" w:space="0"/>
            </w:tcBorders>
            <w:vAlign w:val="top"/>
          </w:tcPr>
          <w:p w14:paraId="7B3EB15D">
            <w:pPr>
              <w:pStyle w:val="7"/>
              <w:spacing w:before="98" w:line="191" w:lineRule="auto"/>
              <w:ind w:left="75"/>
            </w:pPr>
            <w:r>
              <w:rPr>
                <w:spacing w:val="2"/>
              </w:rPr>
              <w:t>根据系统提示缴纳。</w:t>
            </w:r>
          </w:p>
        </w:tc>
      </w:tr>
      <w:tr w14:paraId="493B2D68">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4D412994">
            <w:pPr>
              <w:rPr>
                <w:rFonts w:ascii="Arial"/>
                <w:sz w:val="21"/>
              </w:rPr>
            </w:pPr>
          </w:p>
        </w:tc>
        <w:tc>
          <w:tcPr>
            <w:tcW w:w="1592" w:type="dxa"/>
            <w:gridSpan w:val="2"/>
            <w:vAlign w:val="top"/>
          </w:tcPr>
          <w:p w14:paraId="4041C434">
            <w:pPr>
              <w:pStyle w:val="7"/>
              <w:spacing w:before="99" w:line="190" w:lineRule="auto"/>
              <w:ind w:left="74"/>
            </w:pPr>
            <w:r>
              <w:rPr>
                <w:b/>
                <w:bCs/>
                <w:spacing w:val="5"/>
              </w:rPr>
              <w:t>交纳截止时间</w:t>
            </w:r>
          </w:p>
        </w:tc>
        <w:tc>
          <w:tcPr>
            <w:tcW w:w="4888" w:type="dxa"/>
            <w:gridSpan w:val="5"/>
            <w:tcBorders>
              <w:top w:val="single" w:color="DDDDDD" w:sz="2" w:space="0"/>
              <w:bottom w:val="single" w:color="DDDDDD" w:sz="2" w:space="0"/>
              <w:right w:val="single" w:color="DDDDDD" w:sz="2" w:space="0"/>
            </w:tcBorders>
            <w:vAlign w:val="top"/>
          </w:tcPr>
          <w:p w14:paraId="1809F531">
            <w:pPr>
              <w:pStyle w:val="7"/>
              <w:spacing w:before="76" w:line="216" w:lineRule="exact"/>
              <w:ind w:left="81"/>
            </w:pPr>
            <w:r>
              <w:rPr>
                <w:spacing w:val="1"/>
                <w:position w:val="2"/>
              </w:rPr>
              <w:t>2026-08-1</w:t>
            </w:r>
            <w:r>
              <w:rPr>
                <w:rFonts w:hint="eastAsia"/>
                <w:spacing w:val="1"/>
                <w:position w:val="2"/>
                <w:lang w:val="en-US" w:eastAsia="zh-CN"/>
              </w:rPr>
              <w:t>8</w:t>
            </w:r>
            <w:bookmarkStart w:id="0" w:name="_GoBack"/>
            <w:bookmarkEnd w:id="0"/>
            <w:r>
              <w:rPr>
                <w:spacing w:val="31"/>
                <w:w w:val="101"/>
                <w:position w:val="2"/>
              </w:rPr>
              <w:t xml:space="preserve"> </w:t>
            </w:r>
            <w:r>
              <w:rPr>
                <w:spacing w:val="1"/>
                <w:position w:val="2"/>
              </w:rPr>
              <w:t>17:00:00</w:t>
            </w:r>
          </w:p>
        </w:tc>
      </w:tr>
      <w:tr w14:paraId="215F48F6">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169D2E44">
            <w:pPr>
              <w:rPr>
                <w:rFonts w:ascii="Arial"/>
                <w:sz w:val="21"/>
              </w:rPr>
            </w:pPr>
          </w:p>
        </w:tc>
        <w:tc>
          <w:tcPr>
            <w:tcW w:w="1592" w:type="dxa"/>
            <w:gridSpan w:val="2"/>
            <w:vAlign w:val="top"/>
          </w:tcPr>
          <w:p w14:paraId="5FC62FCD">
            <w:pPr>
              <w:pStyle w:val="7"/>
              <w:spacing w:before="99" w:line="190" w:lineRule="auto"/>
              <w:ind w:left="74"/>
            </w:pPr>
            <w:r>
              <w:rPr>
                <w:b/>
                <w:bCs/>
                <w:spacing w:val="5"/>
              </w:rPr>
              <w:t>交纳注意事项</w:t>
            </w:r>
          </w:p>
        </w:tc>
        <w:tc>
          <w:tcPr>
            <w:tcW w:w="4888" w:type="dxa"/>
            <w:gridSpan w:val="5"/>
            <w:tcBorders>
              <w:top w:val="single" w:color="DDDDDD" w:sz="2" w:space="0"/>
              <w:bottom w:val="single" w:color="DDDDDD" w:sz="2" w:space="0"/>
              <w:right w:val="single" w:color="DDDDDD" w:sz="2" w:space="0"/>
            </w:tcBorders>
            <w:vAlign w:val="top"/>
          </w:tcPr>
          <w:p w14:paraId="452B7731">
            <w:pPr>
              <w:pStyle w:val="7"/>
              <w:spacing w:before="99" w:line="191" w:lineRule="auto"/>
              <w:ind w:left="76"/>
            </w:pPr>
            <w:r>
              <w:rPr>
                <w:spacing w:val="5"/>
              </w:rPr>
              <w:t>交纳资金以到达指定账户为准，交纳方式：转账支票、电汇、网银等。</w:t>
            </w:r>
          </w:p>
        </w:tc>
      </w:tr>
      <w:tr w14:paraId="525181EC">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6718" w:hRule="atLeast"/>
        </w:trPr>
        <w:tc>
          <w:tcPr>
            <w:tcW w:w="1596" w:type="dxa"/>
            <w:vMerge w:val="continue"/>
            <w:tcBorders>
              <w:top w:val="nil"/>
            </w:tcBorders>
            <w:vAlign w:val="top"/>
          </w:tcPr>
          <w:p w14:paraId="7256AFB0">
            <w:pPr>
              <w:rPr>
                <w:rFonts w:ascii="Arial"/>
                <w:sz w:val="21"/>
              </w:rPr>
            </w:pPr>
          </w:p>
        </w:tc>
        <w:tc>
          <w:tcPr>
            <w:tcW w:w="1592" w:type="dxa"/>
            <w:gridSpan w:val="2"/>
            <w:vAlign w:val="top"/>
          </w:tcPr>
          <w:p w14:paraId="109B5051">
            <w:pPr>
              <w:spacing w:line="247" w:lineRule="auto"/>
              <w:rPr>
                <w:rFonts w:ascii="Arial"/>
                <w:sz w:val="21"/>
              </w:rPr>
            </w:pPr>
          </w:p>
          <w:p w14:paraId="1D169686">
            <w:pPr>
              <w:spacing w:line="248" w:lineRule="auto"/>
              <w:rPr>
                <w:rFonts w:ascii="Arial"/>
                <w:sz w:val="21"/>
              </w:rPr>
            </w:pPr>
          </w:p>
          <w:p w14:paraId="02BFD230">
            <w:pPr>
              <w:spacing w:line="248" w:lineRule="auto"/>
              <w:rPr>
                <w:rFonts w:ascii="Arial"/>
                <w:sz w:val="21"/>
              </w:rPr>
            </w:pPr>
          </w:p>
          <w:p w14:paraId="313DAD63">
            <w:pPr>
              <w:spacing w:line="248" w:lineRule="auto"/>
              <w:rPr>
                <w:rFonts w:ascii="Arial"/>
                <w:sz w:val="21"/>
              </w:rPr>
            </w:pPr>
          </w:p>
          <w:p w14:paraId="197611FD">
            <w:pPr>
              <w:spacing w:line="248" w:lineRule="auto"/>
              <w:rPr>
                <w:rFonts w:ascii="Arial"/>
                <w:sz w:val="21"/>
              </w:rPr>
            </w:pPr>
          </w:p>
          <w:p w14:paraId="72FC9FC7">
            <w:pPr>
              <w:spacing w:line="248" w:lineRule="auto"/>
              <w:rPr>
                <w:rFonts w:ascii="Arial"/>
                <w:sz w:val="21"/>
              </w:rPr>
            </w:pPr>
          </w:p>
          <w:p w14:paraId="594232D5">
            <w:pPr>
              <w:spacing w:line="248" w:lineRule="auto"/>
              <w:rPr>
                <w:rFonts w:ascii="Arial"/>
                <w:sz w:val="21"/>
              </w:rPr>
            </w:pPr>
          </w:p>
          <w:p w14:paraId="4B98D860">
            <w:pPr>
              <w:spacing w:line="248" w:lineRule="auto"/>
              <w:rPr>
                <w:rFonts w:ascii="Arial"/>
                <w:sz w:val="21"/>
              </w:rPr>
            </w:pPr>
          </w:p>
          <w:p w14:paraId="64605E3C">
            <w:pPr>
              <w:spacing w:line="248" w:lineRule="auto"/>
              <w:rPr>
                <w:rFonts w:ascii="Arial"/>
                <w:sz w:val="21"/>
              </w:rPr>
            </w:pPr>
          </w:p>
          <w:p w14:paraId="7C12E203">
            <w:pPr>
              <w:spacing w:line="248" w:lineRule="auto"/>
              <w:rPr>
                <w:rFonts w:ascii="Arial"/>
                <w:sz w:val="21"/>
              </w:rPr>
            </w:pPr>
          </w:p>
          <w:p w14:paraId="7E4B2B85">
            <w:pPr>
              <w:spacing w:line="248" w:lineRule="auto"/>
              <w:rPr>
                <w:rFonts w:ascii="Arial"/>
                <w:sz w:val="21"/>
              </w:rPr>
            </w:pPr>
          </w:p>
          <w:p w14:paraId="0831F7AB">
            <w:pPr>
              <w:spacing w:line="248" w:lineRule="auto"/>
              <w:rPr>
                <w:rFonts w:ascii="Arial"/>
                <w:sz w:val="21"/>
              </w:rPr>
            </w:pPr>
          </w:p>
          <w:p w14:paraId="0FDB7C51">
            <w:pPr>
              <w:spacing w:line="248" w:lineRule="auto"/>
              <w:rPr>
                <w:rFonts w:ascii="Arial"/>
                <w:sz w:val="21"/>
              </w:rPr>
            </w:pPr>
          </w:p>
          <w:p w14:paraId="2E863BC5">
            <w:pPr>
              <w:pStyle w:val="7"/>
              <w:spacing w:before="51" w:line="190" w:lineRule="auto"/>
              <w:ind w:left="74"/>
            </w:pPr>
            <w:r>
              <w:rPr>
                <w:b/>
                <w:bCs/>
                <w:spacing w:val="5"/>
              </w:rPr>
              <w:t>保证金处置方式</w:t>
            </w:r>
          </w:p>
        </w:tc>
        <w:tc>
          <w:tcPr>
            <w:tcW w:w="4888" w:type="dxa"/>
            <w:gridSpan w:val="5"/>
            <w:tcBorders>
              <w:top w:val="single" w:color="DDDDDD" w:sz="2" w:space="0"/>
              <w:bottom w:val="single" w:color="DDDDDD" w:sz="2" w:space="0"/>
              <w:right w:val="single" w:color="DDDDDD" w:sz="2" w:space="0"/>
            </w:tcBorders>
            <w:vAlign w:val="top"/>
          </w:tcPr>
          <w:p w14:paraId="65A0B796">
            <w:pPr>
              <w:pStyle w:val="7"/>
              <w:spacing w:before="98" w:line="214" w:lineRule="auto"/>
              <w:ind w:left="75" w:right="146" w:firstLine="11"/>
            </w:pPr>
            <w:r>
              <w:rPr>
                <w:spacing w:val="6"/>
              </w:rPr>
              <w:t>1、竞价成交后，受让方交纳的交易保证金扣</w:t>
            </w:r>
            <w:r>
              <w:rPr>
                <w:spacing w:val="5"/>
              </w:rPr>
              <w:t>除应支付的交易服务费后的余额，在受</w:t>
            </w:r>
            <w:r>
              <w:rPr>
                <w:spacing w:val="2"/>
              </w:rPr>
              <w:t>让方支付完成交价款、</w:t>
            </w:r>
            <w:r>
              <w:rPr>
                <w:spacing w:val="34"/>
                <w:w w:val="102"/>
              </w:rPr>
              <w:t xml:space="preserve"> </w:t>
            </w:r>
            <w:r>
              <w:rPr>
                <w:spacing w:val="2"/>
              </w:rPr>
              <w:t>转让方和受让方通过  “交易系统”提交经双方确认有效签章的</w:t>
            </w:r>
            <w:r>
              <w:rPr>
                <w:spacing w:val="6"/>
              </w:rPr>
              <w:t>交割确认单且转让方和受让方点击“确认交割完成”后或由转让方上传交割确</w:t>
            </w:r>
            <w:r>
              <w:rPr>
                <w:spacing w:val="5"/>
              </w:rPr>
              <w:t>认单并</w:t>
            </w:r>
            <w:r>
              <w:rPr>
                <w:spacing w:val="6"/>
              </w:rPr>
              <w:t>提交交割事项完成相关证明材料原件或复印件加盖公章并校验原件后原渠道无</w:t>
            </w:r>
            <w:r>
              <w:rPr>
                <w:spacing w:val="5"/>
              </w:rPr>
              <w:t>息退还</w:t>
            </w:r>
            <w:r>
              <w:rPr>
                <w:spacing w:val="-1"/>
              </w:rPr>
              <w:t>受让方。</w:t>
            </w:r>
          </w:p>
          <w:p w14:paraId="27BC6C64">
            <w:pPr>
              <w:pStyle w:val="7"/>
              <w:spacing w:before="73" w:line="220" w:lineRule="auto"/>
              <w:ind w:left="76" w:right="199" w:firstLine="5"/>
            </w:pPr>
            <w:r>
              <w:rPr>
                <w:spacing w:val="6"/>
              </w:rPr>
              <w:t>2、竞买人未被确定为受让方且不存在违规违约情形的，其</w:t>
            </w:r>
            <w:r>
              <w:rPr>
                <w:spacing w:val="5"/>
              </w:rPr>
              <w:t>交纳的交易保证金在确定</w:t>
            </w:r>
            <w:r>
              <w:rPr>
                <w:spacing w:val="4"/>
              </w:rPr>
              <w:t>受让方后3个工作日内全额无息返还。</w:t>
            </w:r>
          </w:p>
          <w:p w14:paraId="594D5EAF">
            <w:pPr>
              <w:pStyle w:val="7"/>
              <w:spacing w:before="71" w:line="210" w:lineRule="auto"/>
              <w:ind w:left="75" w:right="146" w:firstLine="7"/>
            </w:pPr>
            <w:r>
              <w:rPr>
                <w:spacing w:val="6"/>
              </w:rPr>
              <w:t>3、若非转让方原因或不可抗力因素，竞买人或受让方</w:t>
            </w:r>
            <w:r>
              <w:rPr>
                <w:spacing w:val="5"/>
              </w:rPr>
              <w:t>发生下列任何情况之一时，</w:t>
            </w:r>
            <w:r>
              <w:rPr>
                <w:b/>
                <w:bCs/>
                <w:spacing w:val="5"/>
              </w:rPr>
              <w:t>产</w:t>
            </w:r>
            <w:r>
              <w:rPr>
                <w:b/>
                <w:bCs/>
                <w:spacing w:val="6"/>
              </w:rPr>
              <w:t>权交易机构或转让方将取消其竞买人资格或者受让资格，其交纳的交易保证金</w:t>
            </w:r>
            <w:r>
              <w:rPr>
                <w:b/>
                <w:bCs/>
                <w:spacing w:val="5"/>
              </w:rPr>
              <w:t>不予返</w:t>
            </w:r>
            <w:r>
              <w:rPr>
                <w:b/>
                <w:bCs/>
                <w:spacing w:val="6"/>
              </w:rPr>
              <w:t>还，该笔交易保证金扣除应支付给产权交易机构的交易服务费后的余额归转</w:t>
            </w:r>
            <w:r>
              <w:rPr>
                <w:b/>
                <w:bCs/>
                <w:spacing w:val="5"/>
              </w:rPr>
              <w:t>让方所</w:t>
            </w:r>
          </w:p>
          <w:p w14:paraId="69B2806B">
            <w:pPr>
              <w:pStyle w:val="7"/>
              <w:spacing w:before="2" w:line="209" w:lineRule="auto"/>
              <w:ind w:left="75" w:right="146"/>
            </w:pPr>
            <w:r>
              <w:rPr>
                <w:b/>
                <w:bCs/>
                <w:spacing w:val="6"/>
              </w:rPr>
              <w:t>有</w:t>
            </w:r>
            <w:r>
              <w:rPr>
                <w:spacing w:val="6"/>
              </w:rPr>
              <w:t>，且包括但不限于下列任何情况之一及竞买人（受让方）实施的任何行为给</w:t>
            </w:r>
            <w:r>
              <w:rPr>
                <w:spacing w:val="5"/>
              </w:rPr>
              <w:t>产权交</w:t>
            </w:r>
            <w:r>
              <w:rPr>
                <w:spacing w:val="6"/>
              </w:rPr>
              <w:t>易机构、转让方造成损失或造成产权交易机构、转让方被第三人索赔或主张任</w:t>
            </w:r>
            <w:r>
              <w:rPr>
                <w:spacing w:val="5"/>
              </w:rPr>
              <w:t>何权利</w:t>
            </w:r>
            <w:r>
              <w:rPr>
                <w:spacing w:val="6"/>
              </w:rPr>
              <w:t>的，竞买人（受让方）应无条件全额赔偿或补偿产权交易机构、转让方的损失</w:t>
            </w:r>
            <w:r>
              <w:rPr>
                <w:spacing w:val="5"/>
              </w:rPr>
              <w:t>及由此</w:t>
            </w:r>
            <w:r>
              <w:rPr>
                <w:spacing w:val="6"/>
              </w:rPr>
              <w:t>产生的一切费用【包括但不限于各种赔偿费、罚款（金）、诉讼（仲裁）案</w:t>
            </w:r>
            <w:r>
              <w:rPr>
                <w:spacing w:val="5"/>
              </w:rPr>
              <w:t>件受理</w:t>
            </w:r>
          </w:p>
          <w:p w14:paraId="1F88388E">
            <w:pPr>
              <w:pStyle w:val="7"/>
              <w:spacing w:before="1" w:line="190" w:lineRule="auto"/>
              <w:ind w:left="76"/>
            </w:pPr>
            <w:r>
              <w:rPr>
                <w:spacing w:val="5"/>
              </w:rPr>
              <w:t>费、诉讼（仲裁）代理费及为此支出的其它合</w:t>
            </w:r>
            <w:r>
              <w:rPr>
                <w:spacing w:val="4"/>
              </w:rPr>
              <w:t>理费用】：</w:t>
            </w:r>
          </w:p>
          <w:p w14:paraId="59AC621E">
            <w:pPr>
              <w:pStyle w:val="7"/>
              <w:spacing w:before="81" w:line="227" w:lineRule="auto"/>
              <w:ind w:left="75" w:right="195" w:firstLine="18"/>
            </w:pPr>
            <w:r>
              <w:rPr>
                <w:b/>
                <w:bCs/>
                <w:spacing w:val="5"/>
              </w:rPr>
              <w:t>（1）相应转让标的的所有（或仅有一名）资格审核合格的竞买人参加网络竞价但均</w:t>
            </w:r>
            <w:r>
              <w:rPr>
                <w:b/>
                <w:bCs/>
                <w:spacing w:val="2"/>
              </w:rPr>
              <w:t>不报（应）价；</w:t>
            </w:r>
          </w:p>
          <w:p w14:paraId="2354AC5D">
            <w:pPr>
              <w:pStyle w:val="7"/>
              <w:spacing w:before="62" w:line="227" w:lineRule="auto"/>
              <w:ind w:left="75" w:right="199" w:firstLine="20"/>
            </w:pPr>
            <w:r>
              <w:rPr>
                <w:spacing w:val="5"/>
              </w:rPr>
              <w:t>（2）竞买人出于限制竞争的目的而与其他竞买人协商、合谋或以其他方式而形成报</w:t>
            </w:r>
            <w:r>
              <w:rPr>
                <w:spacing w:val="-3"/>
              </w:rPr>
              <w:t>价的；</w:t>
            </w:r>
          </w:p>
          <w:p w14:paraId="2743D7E7">
            <w:pPr>
              <w:pStyle w:val="7"/>
              <w:spacing w:before="61" w:line="226" w:lineRule="auto"/>
              <w:ind w:left="76" w:right="199" w:firstLine="20"/>
            </w:pPr>
            <w:r>
              <w:rPr>
                <w:spacing w:val="5"/>
              </w:rPr>
              <w:t>（3）竞买人对转让方或任何相关人员有施加影响或行贿，或采用不正当竞争手段等</w:t>
            </w:r>
            <w:r>
              <w:rPr>
                <w:spacing w:val="3"/>
              </w:rPr>
              <w:t>行为，影响本项目公正性的；</w:t>
            </w:r>
          </w:p>
          <w:p w14:paraId="2F16571C">
            <w:pPr>
              <w:pStyle w:val="7"/>
              <w:spacing w:before="62" w:line="226" w:lineRule="auto"/>
              <w:ind w:left="75" w:right="199" w:firstLine="20"/>
            </w:pPr>
            <w:r>
              <w:rPr>
                <w:spacing w:val="5"/>
              </w:rPr>
              <w:t>（4）</w:t>
            </w:r>
            <w:r>
              <w:rPr>
                <w:spacing w:val="-14"/>
              </w:rPr>
              <w:t xml:space="preserve"> </w:t>
            </w:r>
            <w:r>
              <w:rPr>
                <w:spacing w:val="5"/>
              </w:rPr>
              <w:t>不论是在竞价前还是竞价后，发现竞买人（受让方）</w:t>
            </w:r>
            <w:r>
              <w:rPr>
                <w:spacing w:val="4"/>
              </w:rPr>
              <w:t>递交的报名材料中有弄虚</w:t>
            </w:r>
            <w:r>
              <w:rPr>
                <w:spacing w:val="5"/>
              </w:rPr>
              <w:t>作假或故意隐瞒或存在与本次交易活动要求有严重不符的重大事实；</w:t>
            </w:r>
          </w:p>
          <w:p w14:paraId="14F42DD2">
            <w:pPr>
              <w:pStyle w:val="7"/>
              <w:spacing w:before="62" w:line="230" w:lineRule="auto"/>
              <w:ind w:left="96"/>
            </w:pPr>
            <w:r>
              <w:rPr>
                <w:spacing w:val="3"/>
              </w:rPr>
              <w:t>（5）</w:t>
            </w:r>
            <w:r>
              <w:rPr>
                <w:spacing w:val="2"/>
              </w:rPr>
              <w:t xml:space="preserve"> </w:t>
            </w:r>
            <w:r>
              <w:rPr>
                <w:spacing w:val="3"/>
              </w:rPr>
              <w:t>竞买人违反其在申请受让、公开交易活动过程中做出承诺的；</w:t>
            </w:r>
          </w:p>
          <w:p w14:paraId="2FEFDAA5">
            <w:pPr>
              <w:pStyle w:val="7"/>
              <w:spacing w:before="74" w:line="225" w:lineRule="auto"/>
              <w:ind w:left="76" w:right="199" w:firstLine="20"/>
            </w:pPr>
            <w:r>
              <w:rPr>
                <w:spacing w:val="5"/>
              </w:rPr>
              <w:t>（6）已完成报名手续（即在交易中心平台上点击“提交报名”且已足额交纳交易保证金）且通过资格审核的意向投资人要求撤回其已交的报名材料或交易保证金的；</w:t>
            </w:r>
          </w:p>
          <w:p w14:paraId="70E11097">
            <w:pPr>
              <w:pStyle w:val="7"/>
              <w:spacing w:before="63" w:line="230" w:lineRule="auto"/>
              <w:ind w:left="96"/>
            </w:pPr>
            <w:r>
              <w:rPr>
                <w:spacing w:val="4"/>
              </w:rPr>
              <w:t>（7）受让方未按要求与转让方签署资产转</w:t>
            </w:r>
            <w:r>
              <w:rPr>
                <w:spacing w:val="3"/>
              </w:rPr>
              <w:t>让合同的；</w:t>
            </w:r>
          </w:p>
          <w:p w14:paraId="1099AAE5">
            <w:pPr>
              <w:pStyle w:val="7"/>
              <w:spacing w:before="96" w:line="190" w:lineRule="auto"/>
              <w:ind w:left="96"/>
            </w:pPr>
            <w:r>
              <w:rPr>
                <w:spacing w:val="3"/>
              </w:rPr>
              <w:t>（8）受让方未按要求支付交易价款的；</w:t>
            </w:r>
          </w:p>
          <w:p w14:paraId="6D67A284">
            <w:pPr>
              <w:pStyle w:val="7"/>
              <w:spacing w:before="84" w:line="230" w:lineRule="auto"/>
              <w:ind w:left="96"/>
            </w:pPr>
            <w:r>
              <w:rPr>
                <w:spacing w:val="3"/>
              </w:rPr>
              <w:t>（9）本项目公告等交易规则规定的其他情形。</w:t>
            </w:r>
          </w:p>
          <w:p w14:paraId="4FFD7D87">
            <w:pPr>
              <w:pStyle w:val="7"/>
              <w:spacing w:before="96" w:line="190" w:lineRule="auto"/>
              <w:ind w:left="75"/>
            </w:pPr>
            <w:r>
              <w:rPr>
                <w:spacing w:val="5"/>
              </w:rPr>
              <w:t>4、交易保证金的处置，不影响守约方有权依据相关法律法规追究违约方责任。</w:t>
            </w:r>
          </w:p>
        </w:tc>
      </w:tr>
      <w:tr w14:paraId="028E4682">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76" w:hRule="atLeast"/>
        </w:trPr>
        <w:tc>
          <w:tcPr>
            <w:tcW w:w="1596" w:type="dxa"/>
            <w:vMerge w:val="restart"/>
            <w:tcBorders>
              <w:bottom w:val="nil"/>
            </w:tcBorders>
            <w:vAlign w:val="top"/>
          </w:tcPr>
          <w:p w14:paraId="47BD7B57">
            <w:pPr>
              <w:spacing w:line="274" w:lineRule="auto"/>
              <w:rPr>
                <w:rFonts w:ascii="Arial"/>
                <w:sz w:val="21"/>
              </w:rPr>
            </w:pPr>
          </w:p>
          <w:p w14:paraId="76384EBF">
            <w:pPr>
              <w:spacing w:line="275" w:lineRule="auto"/>
              <w:rPr>
                <w:rFonts w:ascii="Arial"/>
                <w:sz w:val="21"/>
              </w:rPr>
            </w:pPr>
          </w:p>
          <w:p w14:paraId="2652B6ED">
            <w:pPr>
              <w:pStyle w:val="7"/>
              <w:spacing w:before="52" w:line="189" w:lineRule="auto"/>
              <w:ind w:left="77"/>
            </w:pPr>
            <w:r>
              <w:rPr>
                <w:b/>
                <w:bCs/>
                <w:spacing w:val="5"/>
              </w:rPr>
              <w:t>披露附件</w:t>
            </w:r>
          </w:p>
        </w:tc>
        <w:tc>
          <w:tcPr>
            <w:tcW w:w="6480" w:type="dxa"/>
            <w:gridSpan w:val="7"/>
            <w:tcBorders>
              <w:top w:val="single" w:color="DDDDDD" w:sz="2" w:space="0"/>
              <w:right w:val="single" w:color="DDDDDD" w:sz="2" w:space="0"/>
            </w:tcBorders>
            <w:vAlign w:val="top"/>
          </w:tcPr>
          <w:p w14:paraId="39AB9732">
            <w:pPr>
              <w:spacing w:line="65" w:lineRule="exact"/>
              <w:rPr>
                <w:rFonts w:ascii="Arial"/>
                <w:sz w:val="5"/>
              </w:rPr>
            </w:pPr>
          </w:p>
        </w:tc>
      </w:tr>
      <w:tr w14:paraId="0F4A4D51">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7ACF5488">
            <w:pPr>
              <w:rPr>
                <w:rFonts w:ascii="Arial"/>
                <w:sz w:val="21"/>
              </w:rPr>
            </w:pPr>
          </w:p>
        </w:tc>
        <w:tc>
          <w:tcPr>
            <w:tcW w:w="81" w:type="dxa"/>
            <w:tcBorders>
              <w:right w:val="single" w:color="D0D0D0" w:sz="8" w:space="0"/>
            </w:tcBorders>
            <w:vAlign w:val="top"/>
          </w:tcPr>
          <w:p w14:paraId="299DB097">
            <w:pPr>
              <w:rPr>
                <w:rFonts w:ascii="Arial"/>
                <w:sz w:val="21"/>
              </w:rPr>
            </w:pPr>
          </w:p>
        </w:tc>
        <w:tc>
          <w:tcPr>
            <w:tcW w:w="3795" w:type="dxa"/>
            <w:gridSpan w:val="3"/>
            <w:tcBorders>
              <w:left w:val="single" w:color="D0D0D0" w:sz="8" w:space="0"/>
            </w:tcBorders>
            <w:vAlign w:val="top"/>
          </w:tcPr>
          <w:p w14:paraId="60FAD9F4">
            <w:pPr>
              <w:pStyle w:val="7"/>
              <w:spacing w:before="99" w:line="190" w:lineRule="auto"/>
              <w:ind w:left="67"/>
            </w:pPr>
            <w:r>
              <w:rPr>
                <w:b/>
                <w:bCs/>
                <w:spacing w:val="5"/>
              </w:rPr>
              <w:t>名称</w:t>
            </w:r>
          </w:p>
        </w:tc>
        <w:tc>
          <w:tcPr>
            <w:tcW w:w="2528" w:type="dxa"/>
            <w:gridSpan w:val="2"/>
            <w:tcBorders>
              <w:right w:val="single" w:color="D0D0D0" w:sz="8" w:space="0"/>
            </w:tcBorders>
            <w:vAlign w:val="top"/>
          </w:tcPr>
          <w:p w14:paraId="4A420F6F">
            <w:pPr>
              <w:pStyle w:val="7"/>
              <w:spacing w:before="100" w:line="189" w:lineRule="auto"/>
              <w:ind w:left="75"/>
            </w:pPr>
            <w:r>
              <w:rPr>
                <w:b/>
                <w:bCs/>
                <w:spacing w:val="5"/>
              </w:rPr>
              <w:t>操作</w:t>
            </w:r>
          </w:p>
        </w:tc>
        <w:tc>
          <w:tcPr>
            <w:tcW w:w="76" w:type="dxa"/>
            <w:tcBorders>
              <w:left w:val="single" w:color="D0D0D0" w:sz="8" w:space="0"/>
              <w:right w:val="single" w:color="DDDDDD" w:sz="2" w:space="0"/>
            </w:tcBorders>
            <w:vAlign w:val="top"/>
          </w:tcPr>
          <w:p w14:paraId="738368D5">
            <w:pPr>
              <w:rPr>
                <w:rFonts w:ascii="Arial"/>
                <w:sz w:val="21"/>
              </w:rPr>
            </w:pPr>
          </w:p>
        </w:tc>
      </w:tr>
      <w:tr w14:paraId="4606D63F">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67D023DC">
            <w:pPr>
              <w:rPr>
                <w:rFonts w:ascii="Arial"/>
                <w:sz w:val="21"/>
              </w:rPr>
            </w:pPr>
          </w:p>
        </w:tc>
        <w:tc>
          <w:tcPr>
            <w:tcW w:w="81" w:type="dxa"/>
            <w:tcBorders>
              <w:bottom w:val="single" w:color="DDDDDD" w:sz="2" w:space="0"/>
              <w:right w:val="single" w:color="DDDDDD" w:sz="8" w:space="0"/>
            </w:tcBorders>
            <w:vAlign w:val="top"/>
          </w:tcPr>
          <w:p w14:paraId="501E736F">
            <w:pPr>
              <w:rPr>
                <w:rFonts w:ascii="Arial"/>
                <w:sz w:val="21"/>
              </w:rPr>
            </w:pPr>
          </w:p>
        </w:tc>
        <w:tc>
          <w:tcPr>
            <w:tcW w:w="3795" w:type="dxa"/>
            <w:gridSpan w:val="3"/>
            <w:tcBorders>
              <w:left w:val="single" w:color="DDDDDD" w:sz="8" w:space="0"/>
              <w:bottom w:val="single" w:color="DDDDDD" w:sz="2" w:space="0"/>
              <w:right w:val="single" w:color="DDDDDD" w:sz="2" w:space="0"/>
            </w:tcBorders>
            <w:vAlign w:val="top"/>
          </w:tcPr>
          <w:p w14:paraId="5CFB092B">
            <w:pPr>
              <w:pStyle w:val="7"/>
              <w:spacing w:before="98" w:line="191" w:lineRule="auto"/>
              <w:ind w:left="67"/>
            </w:pPr>
            <w:r>
              <w:rPr>
                <w:spacing w:val="5"/>
              </w:rPr>
              <w:t>剩余电缆资产清单</w:t>
            </w:r>
          </w:p>
        </w:tc>
        <w:tc>
          <w:tcPr>
            <w:tcW w:w="2604" w:type="dxa"/>
            <w:gridSpan w:val="3"/>
            <w:vMerge w:val="restart"/>
            <w:tcBorders>
              <w:left w:val="single" w:color="DDDDDD" w:sz="2" w:space="0"/>
              <w:bottom w:val="nil"/>
              <w:right w:val="single" w:color="DDDDDD" w:sz="2" w:space="0"/>
            </w:tcBorders>
            <w:vAlign w:val="top"/>
          </w:tcPr>
          <w:p w14:paraId="58077662">
            <w:pPr>
              <w:rPr>
                <w:rFonts w:ascii="Arial"/>
                <w:sz w:val="21"/>
              </w:rPr>
            </w:pPr>
            <w:r>
              <w:drawing>
                <wp:anchor distT="0" distB="0" distL="0" distR="0" simplePos="0" relativeHeight="251661312" behindDoc="1" locked="0" layoutInCell="1" allowOverlap="1">
                  <wp:simplePos x="0" y="0"/>
                  <wp:positionH relativeFrom="rightMargin">
                    <wp:posOffset>-47625</wp:posOffset>
                  </wp:positionH>
                  <wp:positionV relativeFrom="topMargin">
                    <wp:posOffset>0</wp:posOffset>
                  </wp:positionV>
                  <wp:extent cx="6350" cy="42291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4"/>
                          <a:stretch>
                            <a:fillRect/>
                          </a:stretch>
                        </pic:blipFill>
                        <pic:spPr>
                          <a:xfrm>
                            <a:off x="0" y="0"/>
                            <a:ext cx="6350" cy="422910"/>
                          </a:xfrm>
                          <a:prstGeom prst="rect">
                            <a:avLst/>
                          </a:prstGeom>
                        </pic:spPr>
                      </pic:pic>
                    </a:graphicData>
                  </a:graphic>
                </wp:anchor>
              </w:drawing>
            </w:r>
          </w:p>
        </w:tc>
      </w:tr>
      <w:tr w14:paraId="6778EE27">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7527004A">
            <w:pPr>
              <w:rPr>
                <w:rFonts w:ascii="Arial"/>
                <w:sz w:val="21"/>
              </w:rPr>
            </w:pPr>
          </w:p>
        </w:tc>
        <w:tc>
          <w:tcPr>
            <w:tcW w:w="81" w:type="dxa"/>
            <w:tcBorders>
              <w:top w:val="single" w:color="DDDDDD" w:sz="2" w:space="0"/>
              <w:bottom w:val="single" w:color="DDDDDD" w:sz="2" w:space="0"/>
              <w:right w:val="single" w:color="DDDDDD" w:sz="8" w:space="0"/>
            </w:tcBorders>
            <w:vAlign w:val="top"/>
          </w:tcPr>
          <w:p w14:paraId="26B43CBA">
            <w:pPr>
              <w:rPr>
                <w:rFonts w:ascii="Arial"/>
                <w:sz w:val="21"/>
              </w:rPr>
            </w:pPr>
          </w:p>
        </w:tc>
        <w:tc>
          <w:tcPr>
            <w:tcW w:w="3795" w:type="dxa"/>
            <w:gridSpan w:val="3"/>
            <w:tcBorders>
              <w:top w:val="single" w:color="DDDDDD" w:sz="2" w:space="0"/>
              <w:left w:val="single" w:color="DDDDDD" w:sz="8" w:space="0"/>
              <w:bottom w:val="single" w:color="DDDDDD" w:sz="2" w:space="0"/>
              <w:right w:val="single" w:color="DDDDDD" w:sz="2" w:space="0"/>
            </w:tcBorders>
            <w:vAlign w:val="top"/>
          </w:tcPr>
          <w:p w14:paraId="401B8222">
            <w:pPr>
              <w:pStyle w:val="7"/>
              <w:spacing w:before="98" w:line="191" w:lineRule="auto"/>
              <w:ind w:left="67"/>
            </w:pPr>
            <w:r>
              <w:rPr>
                <w:spacing w:val="5"/>
              </w:rPr>
              <w:t>资产转让合同</w:t>
            </w:r>
          </w:p>
        </w:tc>
        <w:tc>
          <w:tcPr>
            <w:tcW w:w="2604" w:type="dxa"/>
            <w:gridSpan w:val="3"/>
            <w:vMerge w:val="continue"/>
            <w:tcBorders>
              <w:top w:val="nil"/>
              <w:left w:val="single" w:color="DDDDDD" w:sz="2" w:space="0"/>
              <w:bottom w:val="single" w:color="DDDDDD" w:sz="2" w:space="0"/>
              <w:right w:val="single" w:color="DDDDDD" w:sz="2" w:space="0"/>
            </w:tcBorders>
            <w:vAlign w:val="top"/>
          </w:tcPr>
          <w:p w14:paraId="4295198A">
            <w:pPr>
              <w:rPr>
                <w:rFonts w:ascii="Arial"/>
                <w:sz w:val="21"/>
              </w:rPr>
            </w:pPr>
          </w:p>
        </w:tc>
      </w:tr>
      <w:tr w14:paraId="03586AF3">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260" w:hRule="atLeast"/>
        </w:trPr>
        <w:tc>
          <w:tcPr>
            <w:tcW w:w="1596" w:type="dxa"/>
            <w:vMerge w:val="continue"/>
            <w:tcBorders>
              <w:top w:val="nil"/>
              <w:bottom w:val="single" w:color="DDDDDD" w:sz="6" w:space="0"/>
            </w:tcBorders>
            <w:vAlign w:val="top"/>
          </w:tcPr>
          <w:p w14:paraId="05457BD0">
            <w:pPr>
              <w:rPr>
                <w:rFonts w:ascii="Arial"/>
                <w:sz w:val="21"/>
              </w:rPr>
            </w:pPr>
          </w:p>
        </w:tc>
        <w:tc>
          <w:tcPr>
            <w:tcW w:w="6480" w:type="dxa"/>
            <w:gridSpan w:val="7"/>
            <w:tcBorders>
              <w:top w:val="single" w:color="DDDDDD" w:sz="2" w:space="0"/>
              <w:bottom w:val="single" w:color="DDDDDD" w:sz="6" w:space="0"/>
              <w:right w:val="single" w:color="DDDDDD" w:sz="2" w:space="0"/>
            </w:tcBorders>
            <w:vAlign w:val="top"/>
          </w:tcPr>
          <w:p w14:paraId="009F5368">
            <w:pPr>
              <w:rPr>
                <w:rFonts w:ascii="Arial"/>
                <w:sz w:val="21"/>
              </w:rPr>
            </w:pPr>
          </w:p>
        </w:tc>
      </w:tr>
      <w:tr w14:paraId="79D8588F">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67" w:hRule="atLeast"/>
        </w:trPr>
        <w:tc>
          <w:tcPr>
            <w:tcW w:w="8076" w:type="dxa"/>
            <w:gridSpan w:val="8"/>
            <w:tcBorders>
              <w:top w:val="single" w:color="DDDDDD" w:sz="6" w:space="0"/>
            </w:tcBorders>
            <w:vAlign w:val="top"/>
          </w:tcPr>
          <w:p w14:paraId="4C4803EB">
            <w:pPr>
              <w:pStyle w:val="7"/>
              <w:spacing w:before="100" w:line="185" w:lineRule="auto"/>
              <w:ind w:left="85"/>
              <w:rPr>
                <w:sz w:val="16"/>
                <w:szCs w:val="16"/>
              </w:rPr>
            </w:pPr>
            <w:r>
              <w:rPr>
                <w:b/>
                <w:bCs/>
                <w:sz w:val="16"/>
                <w:szCs w:val="16"/>
              </w:rPr>
              <w:t>四、挂牌信息</w:t>
            </w:r>
          </w:p>
        </w:tc>
      </w:tr>
      <w:tr w14:paraId="04BCCF77">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Align w:val="top"/>
          </w:tcPr>
          <w:p w14:paraId="1B61219B">
            <w:pPr>
              <w:pStyle w:val="7"/>
              <w:spacing w:before="100" w:line="190" w:lineRule="auto"/>
              <w:ind w:left="77"/>
            </w:pPr>
            <w:r>
              <w:rPr>
                <w:b/>
                <w:bCs/>
                <w:spacing w:val="5"/>
              </w:rPr>
              <w:t>挂牌公告期</w:t>
            </w:r>
          </w:p>
        </w:tc>
        <w:tc>
          <w:tcPr>
            <w:tcW w:w="6480" w:type="dxa"/>
            <w:gridSpan w:val="7"/>
            <w:tcBorders>
              <w:bottom w:val="single" w:color="DDDDDD" w:sz="2" w:space="0"/>
              <w:right w:val="single" w:color="DDDDDD" w:sz="2" w:space="0"/>
            </w:tcBorders>
            <w:vAlign w:val="top"/>
          </w:tcPr>
          <w:p w14:paraId="4816B04F">
            <w:pPr>
              <w:pStyle w:val="7"/>
              <w:spacing w:before="101" w:line="189" w:lineRule="auto"/>
              <w:ind w:left="88"/>
            </w:pPr>
            <w:r>
              <w:rPr>
                <w:spacing w:val="3"/>
              </w:rPr>
              <w:t>自公告之日起</w:t>
            </w:r>
            <w:r>
              <w:rPr>
                <w:spacing w:val="15"/>
                <w:w w:val="102"/>
              </w:rPr>
              <w:t xml:space="preserve"> </w:t>
            </w:r>
            <w:r>
              <w:rPr>
                <w:spacing w:val="3"/>
              </w:rPr>
              <w:t>5个工作日</w:t>
            </w:r>
          </w:p>
        </w:tc>
      </w:tr>
      <w:tr w14:paraId="71CB125D">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Align w:val="top"/>
          </w:tcPr>
          <w:p w14:paraId="18D861EA">
            <w:pPr>
              <w:pStyle w:val="7"/>
              <w:spacing w:before="100" w:line="190" w:lineRule="auto"/>
              <w:ind w:left="78"/>
            </w:pPr>
            <w:r>
              <w:rPr>
                <w:b/>
                <w:bCs/>
                <w:spacing w:val="5"/>
              </w:rPr>
              <w:t>无合格意向受让方</w:t>
            </w:r>
          </w:p>
        </w:tc>
        <w:tc>
          <w:tcPr>
            <w:tcW w:w="6480" w:type="dxa"/>
            <w:gridSpan w:val="7"/>
            <w:tcBorders>
              <w:top w:val="single" w:color="DDDDDD" w:sz="2" w:space="0"/>
              <w:bottom w:val="single" w:color="DDDDDD" w:sz="2" w:space="0"/>
              <w:right w:val="single" w:color="DDDDDD" w:sz="2" w:space="0"/>
            </w:tcBorders>
            <w:vAlign w:val="top"/>
          </w:tcPr>
          <w:p w14:paraId="4BBB8BBB">
            <w:pPr>
              <w:pStyle w:val="7"/>
              <w:spacing w:before="100" w:line="190" w:lineRule="auto"/>
              <w:ind w:left="88"/>
            </w:pPr>
            <w:r>
              <w:rPr>
                <w:spacing w:val="5"/>
              </w:rPr>
              <w:t>自动重新挂牌 项目自动终结后自动重新挂牌公告期5个工作日</w:t>
            </w:r>
          </w:p>
        </w:tc>
      </w:tr>
      <w:tr w14:paraId="2A897798">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32" w:hRule="atLeast"/>
        </w:trPr>
        <w:tc>
          <w:tcPr>
            <w:tcW w:w="1596" w:type="dxa"/>
            <w:tcBorders>
              <w:bottom w:val="single" w:color="DDDDDD" w:sz="6" w:space="0"/>
            </w:tcBorders>
            <w:vAlign w:val="top"/>
          </w:tcPr>
          <w:p w14:paraId="053D1301">
            <w:pPr>
              <w:pStyle w:val="7"/>
              <w:spacing w:before="100" w:line="190" w:lineRule="auto"/>
              <w:ind w:left="77"/>
            </w:pPr>
            <w:r>
              <w:rPr>
                <w:b/>
                <w:bCs/>
                <w:spacing w:val="5"/>
              </w:rPr>
              <w:t>有合格意向受让方</w:t>
            </w:r>
          </w:p>
        </w:tc>
        <w:tc>
          <w:tcPr>
            <w:tcW w:w="6480" w:type="dxa"/>
            <w:gridSpan w:val="7"/>
            <w:tcBorders>
              <w:top w:val="single" w:color="DDDDDD" w:sz="2" w:space="0"/>
              <w:bottom w:val="single" w:color="DDDDDD" w:sz="6" w:space="0"/>
              <w:right w:val="single" w:color="DDDDDD" w:sz="2" w:space="0"/>
            </w:tcBorders>
            <w:vAlign w:val="top"/>
          </w:tcPr>
          <w:p w14:paraId="6A1E0CA2">
            <w:pPr>
              <w:pStyle w:val="7"/>
              <w:spacing w:before="101" w:line="189" w:lineRule="auto"/>
              <w:ind w:left="75"/>
            </w:pPr>
            <w:r>
              <w:rPr>
                <w:spacing w:val="5"/>
              </w:rPr>
              <w:t>动态报价</w:t>
            </w:r>
          </w:p>
        </w:tc>
      </w:tr>
      <w:tr w14:paraId="735E7178">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77" w:hRule="atLeast"/>
        </w:trPr>
        <w:tc>
          <w:tcPr>
            <w:tcW w:w="8076" w:type="dxa"/>
            <w:gridSpan w:val="8"/>
            <w:tcBorders>
              <w:top w:val="single" w:color="DDDDDD" w:sz="6" w:space="0"/>
            </w:tcBorders>
            <w:vAlign w:val="top"/>
          </w:tcPr>
          <w:p w14:paraId="6AD6C13E">
            <w:pPr>
              <w:pStyle w:val="7"/>
              <w:spacing w:before="101" w:line="185" w:lineRule="auto"/>
              <w:ind w:left="79"/>
              <w:rPr>
                <w:sz w:val="16"/>
                <w:szCs w:val="16"/>
              </w:rPr>
            </w:pPr>
            <w:r>
              <w:rPr>
                <w:b/>
                <w:bCs/>
                <w:spacing w:val="1"/>
                <w:sz w:val="16"/>
                <w:szCs w:val="16"/>
              </w:rPr>
              <w:t>五、联系方式</w:t>
            </w:r>
          </w:p>
        </w:tc>
      </w:tr>
      <w:tr w14:paraId="00C8A9DE">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restart"/>
            <w:tcBorders>
              <w:bottom w:val="nil"/>
            </w:tcBorders>
            <w:vAlign w:val="top"/>
          </w:tcPr>
          <w:p w14:paraId="69774005">
            <w:pPr>
              <w:spacing w:line="274" w:lineRule="auto"/>
              <w:rPr>
                <w:rFonts w:ascii="Arial"/>
                <w:sz w:val="21"/>
              </w:rPr>
            </w:pPr>
          </w:p>
          <w:p w14:paraId="3B1D86F9">
            <w:pPr>
              <w:spacing w:line="275" w:lineRule="auto"/>
              <w:rPr>
                <w:rFonts w:ascii="Arial"/>
                <w:sz w:val="21"/>
              </w:rPr>
            </w:pPr>
          </w:p>
          <w:p w14:paraId="11C918CA">
            <w:pPr>
              <w:pStyle w:val="7"/>
              <w:spacing w:before="52" w:line="190" w:lineRule="auto"/>
              <w:ind w:left="77"/>
            </w:pPr>
            <w:r>
              <w:rPr>
                <w:b/>
                <w:bCs/>
                <w:spacing w:val="5"/>
              </w:rPr>
              <w:t>交易机构</w:t>
            </w:r>
          </w:p>
        </w:tc>
        <w:tc>
          <w:tcPr>
            <w:tcW w:w="1592" w:type="dxa"/>
            <w:gridSpan w:val="2"/>
            <w:vAlign w:val="top"/>
          </w:tcPr>
          <w:p w14:paraId="07A6DDDB">
            <w:pPr>
              <w:pStyle w:val="7"/>
              <w:spacing w:before="99" w:line="191" w:lineRule="auto"/>
              <w:ind w:left="74"/>
            </w:pPr>
            <w:r>
              <w:rPr>
                <w:b/>
                <w:bCs/>
                <w:spacing w:val="5"/>
              </w:rPr>
              <w:t>项目咨询联系人</w:t>
            </w:r>
          </w:p>
        </w:tc>
        <w:tc>
          <w:tcPr>
            <w:tcW w:w="1052" w:type="dxa"/>
            <w:tcBorders>
              <w:bottom w:val="single" w:color="DDDDDD" w:sz="2" w:space="0"/>
              <w:right w:val="single" w:color="DDDDDD" w:sz="2" w:space="0"/>
            </w:tcBorders>
            <w:vAlign w:val="top"/>
          </w:tcPr>
          <w:p w14:paraId="52F2C43A">
            <w:pPr>
              <w:pStyle w:val="7"/>
              <w:spacing w:before="101" w:line="189" w:lineRule="auto"/>
              <w:ind w:left="76"/>
            </w:pPr>
            <w:r>
              <w:rPr>
                <w:spacing w:val="5"/>
              </w:rPr>
              <w:t>吴女士</w:t>
            </w:r>
          </w:p>
        </w:tc>
        <w:tc>
          <w:tcPr>
            <w:tcW w:w="1592" w:type="dxa"/>
            <w:gridSpan w:val="2"/>
            <w:tcBorders>
              <w:left w:val="single" w:color="DDDDDD" w:sz="2" w:space="0"/>
            </w:tcBorders>
            <w:vAlign w:val="top"/>
          </w:tcPr>
          <w:p w14:paraId="2D575411">
            <w:pPr>
              <w:pStyle w:val="7"/>
              <w:spacing w:before="99" w:line="191" w:lineRule="auto"/>
              <w:ind w:left="73"/>
            </w:pPr>
            <w:r>
              <w:rPr>
                <w:b/>
                <w:bCs/>
                <w:spacing w:val="5"/>
              </w:rPr>
              <w:t>项目咨询联系电话</w:t>
            </w:r>
          </w:p>
        </w:tc>
        <w:tc>
          <w:tcPr>
            <w:tcW w:w="2244" w:type="dxa"/>
            <w:gridSpan w:val="2"/>
            <w:tcBorders>
              <w:bottom w:val="single" w:color="DDDDDD" w:sz="2" w:space="0"/>
              <w:right w:val="single" w:color="DDDDDD" w:sz="2" w:space="0"/>
            </w:tcBorders>
            <w:vAlign w:val="top"/>
          </w:tcPr>
          <w:p w14:paraId="2E234849">
            <w:pPr>
              <w:pStyle w:val="7"/>
              <w:spacing w:before="77" w:line="216" w:lineRule="exact"/>
              <w:ind w:left="78"/>
            </w:pPr>
            <w:r>
              <w:rPr>
                <w:spacing w:val="2"/>
                <w:position w:val="2"/>
              </w:rPr>
              <w:t>0591-87315305</w:t>
            </w:r>
          </w:p>
        </w:tc>
      </w:tr>
      <w:tr w14:paraId="1C793B9E">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2E3C617C">
            <w:pPr>
              <w:rPr>
                <w:rFonts w:ascii="Arial"/>
                <w:sz w:val="21"/>
              </w:rPr>
            </w:pPr>
          </w:p>
        </w:tc>
        <w:tc>
          <w:tcPr>
            <w:tcW w:w="1592" w:type="dxa"/>
            <w:gridSpan w:val="2"/>
            <w:vAlign w:val="top"/>
          </w:tcPr>
          <w:p w14:paraId="4D3F9436">
            <w:pPr>
              <w:pStyle w:val="7"/>
              <w:spacing w:before="99" w:line="191" w:lineRule="auto"/>
              <w:ind w:left="74"/>
            </w:pPr>
            <w:r>
              <w:rPr>
                <w:b/>
                <w:bCs/>
                <w:spacing w:val="5"/>
              </w:rPr>
              <w:t>项目咨询联系人</w:t>
            </w:r>
          </w:p>
        </w:tc>
        <w:tc>
          <w:tcPr>
            <w:tcW w:w="1052" w:type="dxa"/>
            <w:tcBorders>
              <w:top w:val="single" w:color="DDDDDD" w:sz="2" w:space="0"/>
              <w:bottom w:val="single" w:color="DDDDDD" w:sz="2" w:space="0"/>
              <w:right w:val="single" w:color="DDDDDD" w:sz="2" w:space="0"/>
            </w:tcBorders>
            <w:vAlign w:val="top"/>
          </w:tcPr>
          <w:p w14:paraId="67A9C3D4">
            <w:pPr>
              <w:pStyle w:val="7"/>
              <w:spacing w:before="101" w:line="189" w:lineRule="auto"/>
              <w:ind w:left="81"/>
            </w:pPr>
            <w:r>
              <w:rPr>
                <w:spacing w:val="3"/>
              </w:rPr>
              <w:t>陈女士</w:t>
            </w:r>
          </w:p>
        </w:tc>
        <w:tc>
          <w:tcPr>
            <w:tcW w:w="1592" w:type="dxa"/>
            <w:gridSpan w:val="2"/>
            <w:tcBorders>
              <w:left w:val="single" w:color="DDDDDD" w:sz="2" w:space="0"/>
            </w:tcBorders>
            <w:vAlign w:val="top"/>
          </w:tcPr>
          <w:p w14:paraId="4B49354B">
            <w:pPr>
              <w:pStyle w:val="7"/>
              <w:spacing w:before="99" w:line="191" w:lineRule="auto"/>
              <w:ind w:left="73"/>
            </w:pPr>
            <w:r>
              <w:rPr>
                <w:b/>
                <w:bCs/>
                <w:spacing w:val="5"/>
              </w:rPr>
              <w:t>项目咨询联系电话</w:t>
            </w:r>
          </w:p>
        </w:tc>
        <w:tc>
          <w:tcPr>
            <w:tcW w:w="2244" w:type="dxa"/>
            <w:gridSpan w:val="2"/>
            <w:tcBorders>
              <w:top w:val="single" w:color="DDDDDD" w:sz="2" w:space="0"/>
              <w:bottom w:val="single" w:color="DDDDDD" w:sz="2" w:space="0"/>
              <w:right w:val="single" w:color="DDDDDD" w:sz="2" w:space="0"/>
            </w:tcBorders>
            <w:vAlign w:val="top"/>
          </w:tcPr>
          <w:p w14:paraId="64F412F1">
            <w:pPr>
              <w:pStyle w:val="7"/>
              <w:spacing w:before="77" w:line="216" w:lineRule="exact"/>
              <w:ind w:left="78"/>
            </w:pPr>
            <w:r>
              <w:rPr>
                <w:spacing w:val="2"/>
                <w:position w:val="2"/>
              </w:rPr>
              <w:t>0591-87270630</w:t>
            </w:r>
          </w:p>
        </w:tc>
      </w:tr>
      <w:tr w14:paraId="5E3A9A7B">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28" w:hRule="atLeast"/>
        </w:trPr>
        <w:tc>
          <w:tcPr>
            <w:tcW w:w="1596" w:type="dxa"/>
            <w:vMerge w:val="continue"/>
            <w:tcBorders>
              <w:top w:val="nil"/>
              <w:bottom w:val="nil"/>
            </w:tcBorders>
            <w:vAlign w:val="top"/>
          </w:tcPr>
          <w:p w14:paraId="5DE1DE5C">
            <w:pPr>
              <w:rPr>
                <w:rFonts w:ascii="Arial"/>
                <w:sz w:val="21"/>
              </w:rPr>
            </w:pPr>
          </w:p>
        </w:tc>
        <w:tc>
          <w:tcPr>
            <w:tcW w:w="1592" w:type="dxa"/>
            <w:gridSpan w:val="2"/>
            <w:vAlign w:val="top"/>
          </w:tcPr>
          <w:p w14:paraId="576C1B83">
            <w:pPr>
              <w:pStyle w:val="7"/>
              <w:spacing w:before="99" w:line="191" w:lineRule="auto"/>
              <w:ind w:left="74"/>
            </w:pPr>
            <w:r>
              <w:rPr>
                <w:b/>
                <w:bCs/>
                <w:spacing w:val="5"/>
              </w:rPr>
              <w:t>项目咨询联系人</w:t>
            </w:r>
          </w:p>
        </w:tc>
        <w:tc>
          <w:tcPr>
            <w:tcW w:w="1052" w:type="dxa"/>
            <w:tcBorders>
              <w:top w:val="single" w:color="DDDDDD" w:sz="2" w:space="0"/>
              <w:bottom w:val="single" w:color="DDDDDD" w:sz="2" w:space="0"/>
              <w:right w:val="single" w:color="DDDDDD" w:sz="2" w:space="0"/>
            </w:tcBorders>
            <w:vAlign w:val="top"/>
          </w:tcPr>
          <w:p w14:paraId="7AFC4BE0">
            <w:pPr>
              <w:pStyle w:val="7"/>
              <w:spacing w:before="101" w:line="189" w:lineRule="auto"/>
              <w:ind w:left="75"/>
            </w:pPr>
            <w:r>
              <w:rPr>
                <w:spacing w:val="5"/>
              </w:rPr>
              <w:t>邓先生</w:t>
            </w:r>
          </w:p>
        </w:tc>
        <w:tc>
          <w:tcPr>
            <w:tcW w:w="1592" w:type="dxa"/>
            <w:gridSpan w:val="2"/>
            <w:tcBorders>
              <w:left w:val="single" w:color="DDDDDD" w:sz="2" w:space="0"/>
            </w:tcBorders>
            <w:vAlign w:val="top"/>
          </w:tcPr>
          <w:p w14:paraId="6D96DFEF">
            <w:pPr>
              <w:pStyle w:val="7"/>
              <w:spacing w:before="99" w:line="191" w:lineRule="auto"/>
              <w:ind w:left="73"/>
            </w:pPr>
            <w:r>
              <w:rPr>
                <w:b/>
                <w:bCs/>
                <w:spacing w:val="5"/>
              </w:rPr>
              <w:t>项目咨询联系电话</w:t>
            </w:r>
          </w:p>
        </w:tc>
        <w:tc>
          <w:tcPr>
            <w:tcW w:w="2244" w:type="dxa"/>
            <w:gridSpan w:val="2"/>
            <w:tcBorders>
              <w:top w:val="single" w:color="DDDDDD" w:sz="2" w:space="0"/>
              <w:bottom w:val="single" w:color="DDDDDD" w:sz="2" w:space="0"/>
              <w:right w:val="single" w:color="DDDDDD" w:sz="2" w:space="0"/>
            </w:tcBorders>
            <w:vAlign w:val="top"/>
          </w:tcPr>
          <w:p w14:paraId="4662A524">
            <w:pPr>
              <w:pStyle w:val="7"/>
              <w:spacing w:before="77" w:line="216" w:lineRule="exact"/>
              <w:ind w:left="78"/>
            </w:pPr>
            <w:r>
              <w:rPr>
                <w:spacing w:val="2"/>
                <w:position w:val="2"/>
              </w:rPr>
              <w:t>0591-87809323</w:t>
            </w:r>
          </w:p>
        </w:tc>
      </w:tr>
      <w:tr w14:paraId="4185F49A">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33" w:hRule="atLeast"/>
        </w:trPr>
        <w:tc>
          <w:tcPr>
            <w:tcW w:w="1596" w:type="dxa"/>
            <w:vMerge w:val="continue"/>
            <w:tcBorders>
              <w:top w:val="nil"/>
              <w:bottom w:val="single" w:color="DDDDDD" w:sz="6" w:space="0"/>
            </w:tcBorders>
            <w:vAlign w:val="top"/>
          </w:tcPr>
          <w:p w14:paraId="63C77080">
            <w:pPr>
              <w:rPr>
                <w:rFonts w:ascii="Arial"/>
                <w:sz w:val="21"/>
              </w:rPr>
            </w:pPr>
          </w:p>
        </w:tc>
        <w:tc>
          <w:tcPr>
            <w:tcW w:w="1592" w:type="dxa"/>
            <w:gridSpan w:val="2"/>
            <w:tcBorders>
              <w:bottom w:val="single" w:color="DDDDDD" w:sz="6" w:space="0"/>
            </w:tcBorders>
            <w:vAlign w:val="top"/>
          </w:tcPr>
          <w:p w14:paraId="3F4F1697">
            <w:pPr>
              <w:pStyle w:val="7"/>
              <w:spacing w:before="100" w:line="190" w:lineRule="auto"/>
              <w:ind w:left="74"/>
            </w:pPr>
            <w:r>
              <w:rPr>
                <w:b/>
                <w:bCs/>
                <w:spacing w:val="5"/>
              </w:rPr>
              <w:t>项目报名联系人</w:t>
            </w:r>
          </w:p>
        </w:tc>
        <w:tc>
          <w:tcPr>
            <w:tcW w:w="1052" w:type="dxa"/>
            <w:tcBorders>
              <w:top w:val="single" w:color="DDDDDD" w:sz="2" w:space="0"/>
              <w:bottom w:val="single" w:color="DDDDDD" w:sz="6" w:space="0"/>
              <w:right w:val="single" w:color="DDDDDD" w:sz="2" w:space="0"/>
            </w:tcBorders>
            <w:vAlign w:val="top"/>
          </w:tcPr>
          <w:p w14:paraId="27737E23">
            <w:pPr>
              <w:pStyle w:val="7"/>
              <w:spacing w:before="101" w:line="189" w:lineRule="auto"/>
              <w:ind w:left="76"/>
            </w:pPr>
            <w:r>
              <w:rPr>
                <w:spacing w:val="5"/>
              </w:rPr>
              <w:t>吴女士</w:t>
            </w:r>
          </w:p>
        </w:tc>
        <w:tc>
          <w:tcPr>
            <w:tcW w:w="1592" w:type="dxa"/>
            <w:gridSpan w:val="2"/>
            <w:tcBorders>
              <w:left w:val="single" w:color="DDDDDD" w:sz="2" w:space="0"/>
              <w:bottom w:val="single" w:color="DDDDDD" w:sz="6" w:space="0"/>
            </w:tcBorders>
            <w:vAlign w:val="top"/>
          </w:tcPr>
          <w:p w14:paraId="2EBC2A9B">
            <w:pPr>
              <w:pStyle w:val="7"/>
              <w:spacing w:before="100" w:line="190" w:lineRule="auto"/>
              <w:ind w:left="73"/>
            </w:pPr>
            <w:r>
              <w:rPr>
                <w:b/>
                <w:bCs/>
                <w:spacing w:val="5"/>
              </w:rPr>
              <w:t>项目报名联系电话</w:t>
            </w:r>
          </w:p>
        </w:tc>
        <w:tc>
          <w:tcPr>
            <w:tcW w:w="2244" w:type="dxa"/>
            <w:gridSpan w:val="2"/>
            <w:tcBorders>
              <w:top w:val="single" w:color="DDDDDD" w:sz="2" w:space="0"/>
              <w:bottom w:val="single" w:color="DDDDDD" w:sz="6" w:space="0"/>
              <w:right w:val="single" w:color="DDDDDD" w:sz="2" w:space="0"/>
            </w:tcBorders>
            <w:vAlign w:val="top"/>
          </w:tcPr>
          <w:p w14:paraId="2615774D">
            <w:pPr>
              <w:pStyle w:val="7"/>
              <w:spacing w:before="77" w:line="216" w:lineRule="exact"/>
              <w:ind w:left="78"/>
            </w:pPr>
            <w:r>
              <w:rPr>
                <w:spacing w:val="2"/>
                <w:position w:val="2"/>
              </w:rPr>
              <w:t>0591-87315305</w:t>
            </w:r>
          </w:p>
        </w:tc>
      </w:tr>
      <w:tr w14:paraId="4DA0FBFA">
        <w:tblPrEx>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CellMar>
            <w:top w:w="0" w:type="dxa"/>
            <w:left w:w="0" w:type="dxa"/>
            <w:bottom w:w="0" w:type="dxa"/>
            <w:right w:w="0" w:type="dxa"/>
          </w:tblCellMar>
        </w:tblPrEx>
        <w:trPr>
          <w:trHeight w:val="346" w:hRule="atLeast"/>
        </w:trPr>
        <w:tc>
          <w:tcPr>
            <w:tcW w:w="8076" w:type="dxa"/>
            <w:gridSpan w:val="8"/>
            <w:tcBorders>
              <w:top w:val="single" w:color="DDDDDD" w:sz="6" w:space="0"/>
              <w:bottom w:val="nil"/>
            </w:tcBorders>
            <w:vAlign w:val="top"/>
          </w:tcPr>
          <w:p w14:paraId="701353B8">
            <w:pPr>
              <w:pStyle w:val="7"/>
              <w:spacing w:before="98" w:line="186" w:lineRule="auto"/>
              <w:ind w:left="78"/>
              <w:rPr>
                <w:sz w:val="16"/>
                <w:szCs w:val="16"/>
              </w:rPr>
            </w:pPr>
            <w:r>
              <w:rPr>
                <w:b/>
                <w:bCs/>
                <w:spacing w:val="1"/>
                <w:sz w:val="16"/>
                <w:szCs w:val="16"/>
              </w:rPr>
              <w:t>六、交易须知</w:t>
            </w:r>
          </w:p>
        </w:tc>
      </w:tr>
    </w:tbl>
    <w:p w14:paraId="78F89F09">
      <w:pPr>
        <w:pStyle w:val="2"/>
        <w:spacing w:before="73" w:line="218" w:lineRule="exact"/>
        <w:jc w:val="right"/>
      </w:pPr>
      <w:r>
        <w:rPr>
          <w:spacing w:val="1"/>
          <w:position w:val="3"/>
        </w:rPr>
        <w:t xml:space="preserve">                                </w:t>
      </w:r>
      <w:r>
        <w:rPr>
          <w:position w:val="3"/>
        </w:rPr>
        <w:t xml:space="preserve">                                 </w:t>
      </w:r>
      <w:r>
        <w:rPr>
          <w:spacing w:val="14"/>
          <w:position w:val="3"/>
        </w:rPr>
        <w:t>2/6</w:t>
      </w:r>
    </w:p>
    <w:p w14:paraId="327FD43C">
      <w:pPr>
        <w:spacing w:line="218" w:lineRule="exact"/>
        <w:sectPr>
          <w:headerReference r:id="rId6" w:type="default"/>
          <w:pgSz w:w="11900" w:h="16839"/>
          <w:pgMar w:top="339" w:right="475" w:bottom="0" w:left="484" w:header="0" w:footer="0" w:gutter="0"/>
          <w:cols w:space="720" w:num="1"/>
        </w:sectPr>
      </w:pPr>
    </w:p>
    <w:p w14:paraId="346BC5F7">
      <w:pPr>
        <w:spacing w:line="54" w:lineRule="exact"/>
      </w:pPr>
    </w:p>
    <w:tbl>
      <w:tblPr>
        <w:tblStyle w:val="6"/>
        <w:tblW w:w="8077" w:type="dxa"/>
        <w:tblInd w:w="1437" w:type="dxa"/>
        <w:tblBorders>
          <w:top w:val="single" w:color="DDDDDD" w:sz="4" w:space="0"/>
          <w:left w:val="single" w:color="DDDDDD" w:sz="2" w:space="0"/>
          <w:bottom w:val="none" w:color="auto" w:sz="0" w:space="0"/>
          <w:right w:val="single" w:color="DDDDDD" w:sz="2" w:space="0"/>
          <w:insideH w:val="none" w:color="auto" w:sz="0" w:space="0"/>
          <w:insideV w:val="none" w:color="auto" w:sz="0" w:space="0"/>
        </w:tblBorders>
        <w:tblLayout w:type="fixed"/>
        <w:tblCellMar>
          <w:top w:w="0" w:type="dxa"/>
          <w:left w:w="0" w:type="dxa"/>
          <w:bottom w:w="0" w:type="dxa"/>
          <w:right w:w="0" w:type="dxa"/>
        </w:tblCellMar>
      </w:tblPr>
      <w:tblGrid>
        <w:gridCol w:w="8077"/>
      </w:tblGrid>
      <w:tr w14:paraId="393A346E">
        <w:tblPrEx>
          <w:tblBorders>
            <w:top w:val="single" w:color="DDDDDD" w:sz="4" w:space="0"/>
            <w:left w:val="single" w:color="DDDDDD" w:sz="2" w:space="0"/>
            <w:bottom w:val="none" w:color="auto" w:sz="0" w:space="0"/>
            <w:right w:val="single" w:color="DDDDDD" w:sz="2" w:space="0"/>
            <w:insideH w:val="none" w:color="auto" w:sz="0" w:space="0"/>
            <w:insideV w:val="none" w:color="auto" w:sz="0" w:space="0"/>
          </w:tblBorders>
          <w:tblCellMar>
            <w:top w:w="0" w:type="dxa"/>
            <w:left w:w="0" w:type="dxa"/>
            <w:bottom w:w="0" w:type="dxa"/>
            <w:right w:w="0" w:type="dxa"/>
          </w:tblCellMar>
        </w:tblPrEx>
        <w:trPr>
          <w:trHeight w:val="15695" w:hRule="atLeast"/>
        </w:trPr>
        <w:tc>
          <w:tcPr>
            <w:tcW w:w="8077" w:type="dxa"/>
            <w:vAlign w:val="top"/>
          </w:tcPr>
          <w:p w14:paraId="7ACADE84">
            <w:pPr>
              <w:pStyle w:val="7"/>
              <w:spacing w:before="240" w:line="184" w:lineRule="auto"/>
              <w:ind w:left="2415"/>
              <w:rPr>
                <w:rFonts w:ascii="宋体" w:hAnsi="宋体" w:eastAsia="宋体" w:cs="宋体"/>
                <w:sz w:val="18"/>
                <w:szCs w:val="18"/>
              </w:rPr>
            </w:pPr>
            <w:r>
              <w:rPr>
                <w:b/>
                <w:bCs/>
                <w:sz w:val="18"/>
                <w:szCs w:val="18"/>
              </w:rPr>
              <w:t>小额资产交易平台（资产转让）交易须知</w:t>
            </w:r>
          </w:p>
          <w:p w14:paraId="2B70E6D0">
            <w:pPr>
              <w:pStyle w:val="7"/>
              <w:spacing w:before="112" w:line="196" w:lineRule="auto"/>
              <w:ind w:left="3799"/>
              <w:outlineLvl w:val="0"/>
              <w:rPr>
                <w:sz w:val="11"/>
                <w:szCs w:val="11"/>
              </w:rPr>
            </w:pPr>
            <w:r>
              <w:rPr>
                <w:b/>
                <w:bCs/>
                <w:spacing w:val="9"/>
                <w:sz w:val="11"/>
                <w:szCs w:val="11"/>
              </w:rPr>
              <w:t>一、总则</w:t>
            </w:r>
          </w:p>
          <w:p w14:paraId="1DC3B786">
            <w:pPr>
              <w:pStyle w:val="7"/>
              <w:spacing w:before="103" w:line="237" w:lineRule="auto"/>
              <w:ind w:left="382"/>
              <w:rPr>
                <w:sz w:val="11"/>
                <w:szCs w:val="11"/>
              </w:rPr>
            </w:pPr>
            <w:r>
              <w:rPr>
                <w:spacing w:val="9"/>
                <w:sz w:val="11"/>
                <w:szCs w:val="11"/>
              </w:rPr>
              <w:t>第一条 福建省产权交易中心有限公司（以下简称“交易中心”</w:t>
            </w:r>
            <w:r>
              <w:rPr>
                <w:spacing w:val="-22"/>
                <w:sz w:val="11"/>
                <w:szCs w:val="11"/>
              </w:rPr>
              <w:t xml:space="preserve"> </w:t>
            </w:r>
            <w:r>
              <w:rPr>
                <w:spacing w:val="9"/>
                <w:sz w:val="11"/>
                <w:szCs w:val="11"/>
              </w:rPr>
              <w:t>）依据委托方申请</w:t>
            </w:r>
            <w:r>
              <w:rPr>
                <w:spacing w:val="-14"/>
                <w:sz w:val="11"/>
                <w:szCs w:val="11"/>
              </w:rPr>
              <w:t xml:space="preserve"> </w:t>
            </w:r>
            <w:r>
              <w:rPr>
                <w:spacing w:val="9"/>
                <w:sz w:val="11"/>
                <w:szCs w:val="11"/>
              </w:rPr>
              <w:t>，依照公开、公平、公正和诚实信用的原则</w:t>
            </w:r>
            <w:r>
              <w:rPr>
                <w:spacing w:val="-15"/>
                <w:sz w:val="11"/>
                <w:szCs w:val="11"/>
              </w:rPr>
              <w:t xml:space="preserve"> </w:t>
            </w:r>
            <w:r>
              <w:rPr>
                <w:spacing w:val="9"/>
                <w:sz w:val="11"/>
                <w:szCs w:val="11"/>
              </w:rPr>
              <w:t>，发布</w:t>
            </w:r>
            <w:r>
              <w:rPr>
                <w:spacing w:val="8"/>
                <w:sz w:val="11"/>
                <w:szCs w:val="11"/>
              </w:rPr>
              <w:t>项目公告。</w:t>
            </w:r>
          </w:p>
          <w:p w14:paraId="3229AB65">
            <w:pPr>
              <w:pStyle w:val="7"/>
              <w:spacing w:before="15" w:line="215" w:lineRule="auto"/>
              <w:ind w:left="96" w:right="131" w:firstLine="288"/>
              <w:rPr>
                <w:sz w:val="11"/>
                <w:szCs w:val="11"/>
              </w:rPr>
            </w:pPr>
            <w:r>
              <w:rPr>
                <w:spacing w:val="10"/>
                <w:sz w:val="11"/>
                <w:szCs w:val="11"/>
              </w:rPr>
              <w:t>交易中心项目公告披露的项目相关信息均为参考性意见</w:t>
            </w:r>
            <w:r>
              <w:rPr>
                <w:spacing w:val="-15"/>
                <w:sz w:val="11"/>
                <w:szCs w:val="11"/>
              </w:rPr>
              <w:t xml:space="preserve"> </w:t>
            </w:r>
            <w:r>
              <w:rPr>
                <w:spacing w:val="10"/>
                <w:sz w:val="11"/>
                <w:szCs w:val="11"/>
              </w:rPr>
              <w:t>，不构成交易中心对任何人的承诺</w:t>
            </w:r>
            <w:r>
              <w:rPr>
                <w:spacing w:val="9"/>
                <w:sz w:val="11"/>
                <w:szCs w:val="11"/>
              </w:rPr>
              <w:t>。任何单位或个人均无权以交易中心的名义做出有关交</w:t>
            </w:r>
            <w:r>
              <w:rPr>
                <w:spacing w:val="8"/>
                <w:sz w:val="11"/>
                <w:szCs w:val="11"/>
              </w:rPr>
              <w:t>易的承诺</w:t>
            </w:r>
            <w:r>
              <w:rPr>
                <w:spacing w:val="3"/>
                <w:sz w:val="11"/>
                <w:szCs w:val="11"/>
              </w:rPr>
              <w:t xml:space="preserve"> </w:t>
            </w:r>
            <w:r>
              <w:rPr>
                <w:spacing w:val="8"/>
                <w:sz w:val="11"/>
                <w:szCs w:val="11"/>
              </w:rPr>
              <w:t>，交易中心对此类承诺概不承担任何法律责任。</w:t>
            </w:r>
          </w:p>
          <w:p w14:paraId="202B5CE5">
            <w:pPr>
              <w:pStyle w:val="7"/>
              <w:spacing w:line="242" w:lineRule="auto"/>
              <w:ind w:left="94" w:right="96" w:firstLine="288"/>
              <w:rPr>
                <w:sz w:val="11"/>
                <w:szCs w:val="11"/>
              </w:rPr>
            </w:pPr>
            <w:r>
              <w:rPr>
                <w:spacing w:val="9"/>
                <w:sz w:val="11"/>
                <w:szCs w:val="11"/>
              </w:rPr>
              <w:t>第二条 意向投资人【指意向受让方或意向承租方或竞买人或竞租人等</w:t>
            </w:r>
            <w:r>
              <w:rPr>
                <w:spacing w:val="-14"/>
                <w:sz w:val="11"/>
                <w:szCs w:val="11"/>
              </w:rPr>
              <w:t xml:space="preserve"> </w:t>
            </w:r>
            <w:r>
              <w:rPr>
                <w:spacing w:val="9"/>
                <w:sz w:val="11"/>
                <w:szCs w:val="11"/>
              </w:rPr>
              <w:t>，下同】参与交易的</w:t>
            </w:r>
            <w:r>
              <w:rPr>
                <w:spacing w:val="-14"/>
                <w:sz w:val="11"/>
                <w:szCs w:val="11"/>
              </w:rPr>
              <w:t xml:space="preserve"> </w:t>
            </w:r>
            <w:r>
              <w:rPr>
                <w:spacing w:val="9"/>
                <w:sz w:val="11"/>
                <w:szCs w:val="11"/>
              </w:rPr>
              <w:t>，应当遵守交易中心的交易规则</w:t>
            </w:r>
            <w:r>
              <w:rPr>
                <w:spacing w:val="-15"/>
                <w:sz w:val="11"/>
                <w:szCs w:val="11"/>
              </w:rPr>
              <w:t xml:space="preserve"> </w:t>
            </w:r>
            <w:r>
              <w:rPr>
                <w:spacing w:val="9"/>
                <w:sz w:val="11"/>
                <w:szCs w:val="11"/>
              </w:rPr>
              <w:t>，并仔细阅读本交</w:t>
            </w:r>
            <w:r>
              <w:rPr>
                <w:spacing w:val="8"/>
                <w:sz w:val="11"/>
                <w:szCs w:val="11"/>
              </w:rPr>
              <w:t>易须</w:t>
            </w:r>
            <w:r>
              <w:rPr>
                <w:spacing w:val="4"/>
                <w:sz w:val="11"/>
                <w:szCs w:val="11"/>
              </w:rPr>
              <w:t>知。</w:t>
            </w:r>
          </w:p>
          <w:p w14:paraId="0DE6CA0C">
            <w:pPr>
              <w:pStyle w:val="7"/>
              <w:spacing w:before="1" w:line="213" w:lineRule="auto"/>
              <w:ind w:left="94" w:right="125" w:firstLine="288"/>
              <w:rPr>
                <w:sz w:val="11"/>
                <w:szCs w:val="11"/>
              </w:rPr>
            </w:pPr>
            <w:r>
              <w:rPr>
                <w:spacing w:val="9"/>
                <w:sz w:val="11"/>
                <w:szCs w:val="11"/>
              </w:rPr>
              <w:t>第三条 意向投资人报名前应认真阅读交易中心发布的项目完整公告及全部附件、交易风险提示书、</w:t>
            </w:r>
            <w:r>
              <w:rPr>
                <w:spacing w:val="-10"/>
                <w:sz w:val="11"/>
                <w:szCs w:val="11"/>
              </w:rPr>
              <w:t xml:space="preserve"> </w:t>
            </w:r>
            <w:r>
              <w:rPr>
                <w:spacing w:val="9"/>
                <w:sz w:val="11"/>
                <w:szCs w:val="11"/>
              </w:rPr>
              <w:t>申请人</w:t>
            </w:r>
            <w:r>
              <w:rPr>
                <w:spacing w:val="8"/>
                <w:sz w:val="11"/>
                <w:szCs w:val="11"/>
              </w:rPr>
              <w:t>承诺等内容</w:t>
            </w:r>
            <w:r>
              <w:rPr>
                <w:spacing w:val="-14"/>
                <w:sz w:val="11"/>
                <w:szCs w:val="11"/>
              </w:rPr>
              <w:t xml:space="preserve"> </w:t>
            </w:r>
            <w:r>
              <w:rPr>
                <w:spacing w:val="8"/>
                <w:sz w:val="11"/>
                <w:szCs w:val="11"/>
              </w:rPr>
              <w:t>，包括但不限于投资风险、</w:t>
            </w:r>
            <w:r>
              <w:rPr>
                <w:spacing w:val="9"/>
                <w:sz w:val="11"/>
                <w:szCs w:val="11"/>
              </w:rPr>
              <w:t>项目情况、瑕疵披露、相关权利义务等。</w:t>
            </w:r>
          </w:p>
          <w:p w14:paraId="5E6C2E7A">
            <w:pPr>
              <w:pStyle w:val="7"/>
              <w:spacing w:line="237" w:lineRule="auto"/>
              <w:ind w:left="101" w:right="220" w:firstLine="281"/>
              <w:rPr>
                <w:sz w:val="11"/>
                <w:szCs w:val="11"/>
              </w:rPr>
            </w:pPr>
            <w:r>
              <w:rPr>
                <w:spacing w:val="11"/>
                <w:sz w:val="11"/>
                <w:szCs w:val="11"/>
              </w:rPr>
              <w:t>第四条 交易中心平台</w:t>
            </w:r>
            <w:r>
              <w:rPr>
                <w:b/>
                <w:bCs/>
                <w:spacing w:val="11"/>
                <w:sz w:val="11"/>
                <w:szCs w:val="11"/>
                <w:u w:val="single" w:color="auto"/>
              </w:rPr>
              <w:t>【指“福建省产权交易中心微信小程序”及“福建省产权交易中心交易系统（</w:t>
            </w:r>
            <w:r>
              <w:fldChar w:fldCharType="begin"/>
            </w:r>
            <w:r>
              <w:instrText xml:space="preserve"> HYPERLINK "https://biz.fjcqjy.com/#/login" </w:instrText>
            </w:r>
            <w:r>
              <w:fldChar w:fldCharType="separate"/>
            </w:r>
            <w:r>
              <w:rPr>
                <w:b/>
                <w:bCs/>
                <w:sz w:val="11"/>
                <w:szCs w:val="11"/>
                <w:u w:val="single" w:color="auto"/>
              </w:rPr>
              <w:t>https</w:t>
            </w:r>
            <w:r>
              <w:rPr>
                <w:b/>
                <w:bCs/>
                <w:spacing w:val="11"/>
                <w:sz w:val="11"/>
                <w:szCs w:val="11"/>
                <w:u w:val="single" w:color="auto"/>
              </w:rPr>
              <w:t>://</w:t>
            </w:r>
            <w:r>
              <w:rPr>
                <w:b/>
                <w:bCs/>
                <w:sz w:val="11"/>
                <w:szCs w:val="11"/>
                <w:u w:val="single" w:color="auto"/>
              </w:rPr>
              <w:t>biz</w:t>
            </w:r>
            <w:r>
              <w:rPr>
                <w:b/>
                <w:bCs/>
                <w:spacing w:val="11"/>
                <w:sz w:val="11"/>
                <w:szCs w:val="11"/>
                <w:u w:val="single" w:color="auto"/>
              </w:rPr>
              <w:t>.</w:t>
            </w:r>
            <w:r>
              <w:rPr>
                <w:b/>
                <w:bCs/>
                <w:sz w:val="11"/>
                <w:szCs w:val="11"/>
                <w:u w:val="single" w:color="auto"/>
              </w:rPr>
              <w:t>fjcqjy</w:t>
            </w:r>
            <w:r>
              <w:rPr>
                <w:b/>
                <w:bCs/>
                <w:spacing w:val="11"/>
                <w:sz w:val="11"/>
                <w:szCs w:val="11"/>
                <w:u w:val="single" w:color="auto"/>
              </w:rPr>
              <w:t>.</w:t>
            </w:r>
            <w:r>
              <w:rPr>
                <w:b/>
                <w:bCs/>
                <w:sz w:val="11"/>
                <w:szCs w:val="11"/>
                <w:u w:val="single" w:color="auto"/>
              </w:rPr>
              <w:t>com</w:t>
            </w:r>
            <w:r>
              <w:rPr>
                <w:b/>
                <w:bCs/>
                <w:spacing w:val="11"/>
                <w:sz w:val="11"/>
                <w:szCs w:val="11"/>
                <w:u w:val="single" w:color="auto"/>
              </w:rPr>
              <w:t>/</w:t>
            </w:r>
            <w:r>
              <w:rPr>
                <w:b/>
                <w:bCs/>
                <w:spacing w:val="10"/>
                <w:sz w:val="11"/>
                <w:szCs w:val="11"/>
                <w:u w:val="single" w:color="auto"/>
              </w:rPr>
              <w:t>#/</w:t>
            </w:r>
            <w:r>
              <w:rPr>
                <w:b/>
                <w:bCs/>
                <w:sz w:val="11"/>
                <w:szCs w:val="11"/>
                <w:u w:val="single" w:color="auto"/>
              </w:rPr>
              <w:t>login</w:t>
            </w:r>
            <w:r>
              <w:rPr>
                <w:b/>
                <w:bCs/>
                <w:sz w:val="11"/>
                <w:szCs w:val="11"/>
                <w:u w:val="single" w:color="auto"/>
              </w:rPr>
              <w:fldChar w:fldCharType="end"/>
            </w:r>
            <w:r>
              <w:rPr>
                <w:b/>
                <w:bCs/>
                <w:spacing w:val="10"/>
                <w:sz w:val="11"/>
                <w:szCs w:val="11"/>
                <w:u w:val="single" w:color="auto"/>
              </w:rPr>
              <w:t>）”,  下</w:t>
            </w:r>
            <w:r>
              <w:rPr>
                <w:b/>
                <w:bCs/>
                <w:spacing w:val="9"/>
                <w:sz w:val="11"/>
                <w:szCs w:val="11"/>
                <w:u w:val="single" w:color="auto"/>
              </w:rPr>
              <w:t>同】</w:t>
            </w:r>
            <w:r>
              <w:rPr>
                <w:spacing w:val="9"/>
                <w:sz w:val="11"/>
                <w:szCs w:val="11"/>
              </w:rPr>
              <w:t>为交易中心指定的网上交易平台</w:t>
            </w:r>
            <w:r>
              <w:rPr>
                <w:spacing w:val="-14"/>
                <w:sz w:val="11"/>
                <w:szCs w:val="11"/>
              </w:rPr>
              <w:t xml:space="preserve"> </w:t>
            </w:r>
            <w:r>
              <w:rPr>
                <w:spacing w:val="9"/>
                <w:sz w:val="11"/>
                <w:szCs w:val="11"/>
              </w:rPr>
              <w:t>，意向投资人通过交易中心平台参与</w:t>
            </w:r>
            <w:r>
              <w:rPr>
                <w:spacing w:val="8"/>
                <w:sz w:val="11"/>
                <w:szCs w:val="11"/>
              </w:rPr>
              <w:t>交易。</w:t>
            </w:r>
          </w:p>
          <w:p w14:paraId="3A0977CD">
            <w:pPr>
              <w:pStyle w:val="7"/>
              <w:spacing w:before="101" w:line="196" w:lineRule="auto"/>
              <w:ind w:left="3379"/>
              <w:outlineLvl w:val="0"/>
              <w:rPr>
                <w:sz w:val="11"/>
                <w:szCs w:val="11"/>
              </w:rPr>
            </w:pPr>
            <w:r>
              <w:rPr>
                <w:b/>
                <w:bCs/>
                <w:spacing w:val="9"/>
                <w:sz w:val="11"/>
                <w:szCs w:val="11"/>
              </w:rPr>
              <w:t>二、关于网上报名的说明</w:t>
            </w:r>
          </w:p>
          <w:p w14:paraId="4F7A3D51">
            <w:pPr>
              <w:pStyle w:val="7"/>
              <w:spacing w:before="116" w:line="196" w:lineRule="auto"/>
              <w:ind w:left="382"/>
              <w:rPr>
                <w:sz w:val="11"/>
                <w:szCs w:val="11"/>
              </w:rPr>
            </w:pPr>
            <w:r>
              <w:rPr>
                <w:spacing w:val="9"/>
                <w:sz w:val="11"/>
                <w:szCs w:val="11"/>
              </w:rPr>
              <w:t>第五条 意向投资人参与交易</w:t>
            </w:r>
            <w:r>
              <w:rPr>
                <w:spacing w:val="-15"/>
                <w:sz w:val="11"/>
                <w:szCs w:val="11"/>
              </w:rPr>
              <w:t xml:space="preserve"> </w:t>
            </w:r>
            <w:r>
              <w:rPr>
                <w:spacing w:val="9"/>
                <w:sz w:val="11"/>
                <w:szCs w:val="11"/>
              </w:rPr>
              <w:t>，需通过交易中心平台进行注册、提交报名</w:t>
            </w:r>
            <w:r>
              <w:rPr>
                <w:spacing w:val="8"/>
                <w:sz w:val="11"/>
                <w:szCs w:val="11"/>
              </w:rPr>
              <w:t>申请。</w:t>
            </w:r>
          </w:p>
          <w:p w14:paraId="166A413A">
            <w:pPr>
              <w:spacing w:before="25" w:line="303" w:lineRule="auto"/>
              <w:ind w:left="100" w:right="136" w:firstLine="286"/>
              <w:rPr>
                <w:rFonts w:ascii="微软雅黑" w:hAnsi="微软雅黑" w:eastAsia="微软雅黑" w:cs="微软雅黑"/>
                <w:snapToGrid w:val="0"/>
                <w:color w:val="000000"/>
                <w:spacing w:val="9"/>
                <w:kern w:val="0"/>
                <w:sz w:val="11"/>
                <w:szCs w:val="11"/>
                <w:lang w:val="en-US" w:eastAsia="en-US" w:bidi="ar-SA"/>
              </w:rPr>
            </w:pPr>
            <w:r>
              <w:rPr>
                <w:rFonts w:ascii="微软雅黑" w:hAnsi="微软雅黑" w:eastAsia="微软雅黑" w:cs="微软雅黑"/>
                <w:snapToGrid w:val="0"/>
                <w:color w:val="000000"/>
                <w:spacing w:val="9"/>
                <w:kern w:val="0"/>
                <w:sz w:val="11"/>
                <w:szCs w:val="11"/>
                <w:lang w:val="en-US" w:eastAsia="en-US" w:bidi="ar-SA"/>
              </w:rPr>
              <w:t>第六条 交易中心不提供任何网络终端设备。意向投资人自备网络终端设备并自行注册登录账户。账户名、密码等所有账户信息完全由意向投资人自行设定，其安全性及保密性也由意向投资人自行负责，并自行承担由此产生的一切法律责任和经济损失。</w:t>
            </w:r>
          </w:p>
          <w:p w14:paraId="1EC260C8">
            <w:pPr>
              <w:pStyle w:val="7"/>
              <w:spacing w:before="1" w:line="228" w:lineRule="auto"/>
              <w:ind w:left="95" w:right="95" w:firstLine="286"/>
              <w:rPr>
                <w:sz w:val="11"/>
                <w:szCs w:val="11"/>
              </w:rPr>
            </w:pPr>
            <w:r>
              <w:rPr>
                <w:b/>
                <w:bCs/>
                <w:spacing w:val="10"/>
                <w:sz w:val="11"/>
                <w:szCs w:val="11"/>
                <w:u w:val="single" w:color="auto"/>
              </w:rPr>
              <w:t>第七条 交易中心已按照委托方的要求对项目交易标的现状和已知的瑕疵、风险进行了</w:t>
            </w:r>
            <w:r>
              <w:rPr>
                <w:b/>
                <w:bCs/>
                <w:spacing w:val="9"/>
                <w:sz w:val="11"/>
                <w:szCs w:val="11"/>
                <w:u w:val="single" w:color="auto"/>
              </w:rPr>
              <w:t>披露</w:t>
            </w:r>
            <w:r>
              <w:rPr>
                <w:b/>
                <w:bCs/>
                <w:spacing w:val="-17"/>
                <w:sz w:val="11"/>
                <w:szCs w:val="11"/>
                <w:u w:val="single" w:color="auto"/>
              </w:rPr>
              <w:t xml:space="preserve"> </w:t>
            </w:r>
            <w:r>
              <w:rPr>
                <w:b/>
                <w:bCs/>
                <w:spacing w:val="9"/>
                <w:sz w:val="11"/>
                <w:szCs w:val="11"/>
                <w:u w:val="single" w:color="auto"/>
              </w:rPr>
              <w:t>，但该行为不能视为交易中心对交易标的的现状、品质</w:t>
            </w:r>
            <w:r>
              <w:rPr>
                <w:b/>
                <w:bCs/>
                <w:spacing w:val="10"/>
                <w:sz w:val="11"/>
                <w:szCs w:val="11"/>
                <w:u w:val="single" w:color="auto"/>
              </w:rPr>
              <w:t>作出保证</w:t>
            </w:r>
            <w:r>
              <w:rPr>
                <w:b/>
                <w:bCs/>
                <w:spacing w:val="-17"/>
                <w:sz w:val="11"/>
                <w:szCs w:val="11"/>
                <w:u w:val="single" w:color="auto"/>
              </w:rPr>
              <w:t xml:space="preserve"> </w:t>
            </w:r>
            <w:r>
              <w:rPr>
                <w:b/>
                <w:bCs/>
                <w:spacing w:val="10"/>
                <w:sz w:val="11"/>
                <w:szCs w:val="11"/>
                <w:u w:val="single" w:color="auto"/>
              </w:rPr>
              <w:t>，交易中心对此不承担瑕疵担保责任。意向投资人</w:t>
            </w:r>
            <w:r>
              <w:rPr>
                <w:b/>
                <w:bCs/>
                <w:spacing w:val="9"/>
                <w:sz w:val="11"/>
                <w:szCs w:val="11"/>
                <w:u w:val="single" w:color="auto"/>
              </w:rPr>
              <w:t>应对项目交易标的进行实地考察和尽职调查。</w:t>
            </w:r>
          </w:p>
          <w:p w14:paraId="678B3150">
            <w:pPr>
              <w:pStyle w:val="7"/>
              <w:spacing w:line="215" w:lineRule="auto"/>
              <w:ind w:left="95" w:right="95" w:firstLine="287"/>
              <w:rPr>
                <w:sz w:val="11"/>
                <w:szCs w:val="11"/>
              </w:rPr>
            </w:pPr>
            <w:r>
              <w:rPr>
                <w:spacing w:val="10"/>
                <w:sz w:val="11"/>
                <w:szCs w:val="11"/>
              </w:rPr>
              <w:t>第八条 意向投资人报名应具备项目公告要求的资格条件</w:t>
            </w:r>
            <w:r>
              <w:rPr>
                <w:spacing w:val="-14"/>
                <w:sz w:val="11"/>
                <w:szCs w:val="11"/>
              </w:rPr>
              <w:t xml:space="preserve"> </w:t>
            </w:r>
            <w:r>
              <w:rPr>
                <w:spacing w:val="10"/>
                <w:sz w:val="11"/>
                <w:szCs w:val="11"/>
              </w:rPr>
              <w:t>，</w:t>
            </w:r>
            <w:r>
              <w:rPr>
                <w:b/>
                <w:bCs/>
                <w:spacing w:val="10"/>
                <w:sz w:val="11"/>
                <w:szCs w:val="11"/>
              </w:rPr>
              <w:t>应</w:t>
            </w:r>
            <w:r>
              <w:rPr>
                <w:b/>
                <w:bCs/>
                <w:spacing w:val="10"/>
                <w:sz w:val="11"/>
                <w:szCs w:val="11"/>
                <w:u w:val="single" w:color="auto"/>
              </w:rPr>
              <w:t>对提交的主体身份</w:t>
            </w:r>
            <w:r>
              <w:rPr>
                <w:b/>
                <w:bCs/>
                <w:spacing w:val="9"/>
                <w:sz w:val="11"/>
                <w:szCs w:val="11"/>
                <w:u w:val="single" w:color="auto"/>
              </w:rPr>
              <w:t>信息和相关报名资格材料的真实性、完整性、合法性、准确性、有效性承担法律责任</w:t>
            </w:r>
            <w:r>
              <w:rPr>
                <w:b/>
                <w:bCs/>
                <w:spacing w:val="-2"/>
                <w:sz w:val="11"/>
                <w:szCs w:val="11"/>
                <w:u w:val="single" w:color="auto"/>
              </w:rPr>
              <w:t xml:space="preserve"> </w:t>
            </w:r>
            <w:r>
              <w:rPr>
                <w:b/>
                <w:bCs/>
                <w:spacing w:val="9"/>
                <w:sz w:val="11"/>
                <w:szCs w:val="11"/>
                <w:u w:val="single" w:color="auto"/>
              </w:rPr>
              <w:t>，并确保其内容不存在虚假记载、误导性陈述或重大遗漏。</w:t>
            </w:r>
          </w:p>
          <w:p w14:paraId="0987F66B">
            <w:pPr>
              <w:pStyle w:val="7"/>
              <w:spacing w:line="233" w:lineRule="auto"/>
              <w:ind w:left="95" w:right="96" w:firstLine="287"/>
              <w:rPr>
                <w:sz w:val="11"/>
                <w:szCs w:val="11"/>
              </w:rPr>
            </w:pPr>
            <w:r>
              <w:rPr>
                <w:spacing w:val="10"/>
                <w:sz w:val="11"/>
                <w:szCs w:val="11"/>
              </w:rPr>
              <w:t>第九条 意向投资人应在项目公告要求的有效报名时间段内按照交易中心项目公</w:t>
            </w:r>
            <w:r>
              <w:rPr>
                <w:spacing w:val="9"/>
                <w:sz w:val="11"/>
                <w:szCs w:val="11"/>
              </w:rPr>
              <w:t>告的要求提交报名材料</w:t>
            </w:r>
            <w:r>
              <w:rPr>
                <w:spacing w:val="-15"/>
                <w:sz w:val="11"/>
                <w:szCs w:val="11"/>
              </w:rPr>
              <w:t xml:space="preserve"> </w:t>
            </w:r>
            <w:r>
              <w:rPr>
                <w:spacing w:val="9"/>
                <w:sz w:val="11"/>
                <w:szCs w:val="11"/>
              </w:rPr>
              <w:t>，并交纳足额交易保证金（以在规定时间内</w:t>
            </w:r>
            <w:r>
              <w:rPr>
                <w:spacing w:val="10"/>
                <w:sz w:val="11"/>
                <w:szCs w:val="11"/>
              </w:rPr>
              <w:t>到达交易中心指定账户为准）。</w:t>
            </w:r>
            <w:r>
              <w:rPr>
                <w:b/>
                <w:bCs/>
                <w:spacing w:val="10"/>
                <w:sz w:val="11"/>
                <w:szCs w:val="11"/>
                <w:u w:val="single" w:color="auto"/>
              </w:rPr>
              <w:t>交易保证金原则上不接受代</w:t>
            </w:r>
            <w:r>
              <w:rPr>
                <w:b/>
                <w:bCs/>
                <w:spacing w:val="9"/>
                <w:sz w:val="11"/>
                <w:szCs w:val="11"/>
                <w:u w:val="single" w:color="auto"/>
              </w:rPr>
              <w:t>收代付。</w:t>
            </w:r>
          </w:p>
          <w:p w14:paraId="13C1705D">
            <w:pPr>
              <w:pStyle w:val="7"/>
              <w:spacing w:before="15" w:line="197" w:lineRule="auto"/>
              <w:ind w:left="382"/>
              <w:rPr>
                <w:sz w:val="11"/>
                <w:szCs w:val="11"/>
              </w:rPr>
            </w:pPr>
            <w:r>
              <w:rPr>
                <w:spacing w:val="9"/>
                <w:sz w:val="11"/>
                <w:szCs w:val="11"/>
              </w:rPr>
              <w:t>第十条 若享有优先权的意向投资人参与交易的</w:t>
            </w:r>
            <w:r>
              <w:rPr>
                <w:spacing w:val="-12"/>
                <w:sz w:val="11"/>
                <w:szCs w:val="11"/>
              </w:rPr>
              <w:t xml:space="preserve"> </w:t>
            </w:r>
            <w:r>
              <w:rPr>
                <w:spacing w:val="9"/>
                <w:sz w:val="11"/>
                <w:szCs w:val="11"/>
              </w:rPr>
              <w:t>，该意向投资人应遵循项目公告的相关规定。</w:t>
            </w:r>
          </w:p>
          <w:p w14:paraId="3DE88F2D">
            <w:pPr>
              <w:pStyle w:val="7"/>
              <w:spacing w:before="1" w:line="245" w:lineRule="auto"/>
              <w:ind w:left="95" w:right="95" w:firstLine="286"/>
              <w:rPr>
                <w:sz w:val="11"/>
                <w:szCs w:val="11"/>
              </w:rPr>
            </w:pPr>
            <w:r>
              <w:rPr>
                <w:b/>
                <w:bCs/>
                <w:spacing w:val="10"/>
                <w:sz w:val="11"/>
                <w:szCs w:val="11"/>
                <w:u w:val="single" w:color="auto"/>
              </w:rPr>
              <w:t>第十一条 项目挂牌公告期间</w:t>
            </w:r>
            <w:r>
              <w:rPr>
                <w:b/>
                <w:bCs/>
                <w:spacing w:val="-17"/>
                <w:sz w:val="11"/>
                <w:szCs w:val="11"/>
                <w:u w:val="single" w:color="auto"/>
              </w:rPr>
              <w:t xml:space="preserve"> </w:t>
            </w:r>
            <w:r>
              <w:rPr>
                <w:b/>
                <w:bCs/>
                <w:spacing w:val="10"/>
                <w:sz w:val="11"/>
                <w:szCs w:val="11"/>
                <w:u w:val="single" w:color="auto"/>
              </w:rPr>
              <w:t>，已完成报名手续（即在交易中心平台上点击“提交报名</w:t>
            </w:r>
            <w:r>
              <w:rPr>
                <w:b/>
                <w:bCs/>
                <w:spacing w:val="9"/>
                <w:sz w:val="11"/>
                <w:szCs w:val="11"/>
                <w:u w:val="single" w:color="auto"/>
              </w:rPr>
              <w:t>”且已足额交纳交易保证金）且通过资格审核的意向投资人</w:t>
            </w:r>
            <w:r>
              <w:rPr>
                <w:b/>
                <w:bCs/>
                <w:spacing w:val="10"/>
                <w:sz w:val="11"/>
                <w:szCs w:val="11"/>
                <w:u w:val="single" w:color="auto"/>
              </w:rPr>
              <w:t>不得撤回报名</w:t>
            </w:r>
            <w:r>
              <w:rPr>
                <w:b/>
                <w:bCs/>
                <w:spacing w:val="-18"/>
                <w:sz w:val="11"/>
                <w:szCs w:val="11"/>
                <w:u w:val="single" w:color="auto"/>
              </w:rPr>
              <w:t xml:space="preserve"> </w:t>
            </w:r>
            <w:r>
              <w:rPr>
                <w:b/>
                <w:bCs/>
                <w:spacing w:val="10"/>
                <w:sz w:val="11"/>
                <w:szCs w:val="11"/>
                <w:u w:val="single" w:color="auto"/>
              </w:rPr>
              <w:t>，否则将承担项目公告或交易须知中约定的包括但不限于交易中心不予返还</w:t>
            </w:r>
            <w:r>
              <w:rPr>
                <w:b/>
                <w:bCs/>
                <w:spacing w:val="9"/>
                <w:sz w:val="11"/>
                <w:szCs w:val="11"/>
                <w:u w:val="single" w:color="auto"/>
              </w:rPr>
              <w:t>意向投资人已交纳的交易保证金等违约责任。</w:t>
            </w:r>
          </w:p>
          <w:p w14:paraId="6BAE0E46">
            <w:pPr>
              <w:pStyle w:val="7"/>
              <w:spacing w:before="99" w:line="196" w:lineRule="auto"/>
              <w:ind w:left="3319"/>
              <w:outlineLvl w:val="0"/>
              <w:rPr>
                <w:sz w:val="11"/>
                <w:szCs w:val="11"/>
              </w:rPr>
            </w:pPr>
            <w:r>
              <w:rPr>
                <w:b/>
                <w:bCs/>
                <w:spacing w:val="9"/>
                <w:sz w:val="11"/>
                <w:szCs w:val="11"/>
              </w:rPr>
              <w:t>三、关于中止或终结的说明</w:t>
            </w:r>
          </w:p>
          <w:p w14:paraId="26FA1790">
            <w:pPr>
              <w:pStyle w:val="7"/>
              <w:spacing w:before="115" w:line="196" w:lineRule="auto"/>
              <w:ind w:left="382"/>
              <w:outlineLvl w:val="1"/>
              <w:rPr>
                <w:sz w:val="11"/>
                <w:szCs w:val="11"/>
              </w:rPr>
            </w:pPr>
            <w:r>
              <w:rPr>
                <w:spacing w:val="8"/>
                <w:sz w:val="11"/>
                <w:szCs w:val="11"/>
              </w:rPr>
              <w:t>第十二条 当出现以下几种情况时</w:t>
            </w:r>
            <w:r>
              <w:rPr>
                <w:sz w:val="11"/>
                <w:szCs w:val="11"/>
              </w:rPr>
              <w:t xml:space="preserve"> </w:t>
            </w:r>
            <w:r>
              <w:rPr>
                <w:spacing w:val="8"/>
                <w:sz w:val="11"/>
                <w:szCs w:val="11"/>
              </w:rPr>
              <w:t>，交易活动中止或终结：</w:t>
            </w:r>
          </w:p>
          <w:p w14:paraId="5D250CC1">
            <w:pPr>
              <w:pStyle w:val="7"/>
              <w:spacing w:before="4" w:line="229" w:lineRule="auto"/>
              <w:ind w:left="405"/>
              <w:rPr>
                <w:sz w:val="11"/>
                <w:szCs w:val="11"/>
              </w:rPr>
            </w:pPr>
            <w:r>
              <w:rPr>
                <w:spacing w:val="9"/>
                <w:sz w:val="11"/>
                <w:szCs w:val="11"/>
              </w:rPr>
              <w:t>（一）没有意向投资人按照本项目公告规定的程序提交报名材料及交纳交易保</w:t>
            </w:r>
            <w:r>
              <w:rPr>
                <w:spacing w:val="8"/>
                <w:sz w:val="11"/>
                <w:szCs w:val="11"/>
              </w:rPr>
              <w:t>证金</w:t>
            </w:r>
            <w:r>
              <w:rPr>
                <w:spacing w:val="-15"/>
                <w:sz w:val="11"/>
                <w:szCs w:val="11"/>
              </w:rPr>
              <w:t xml:space="preserve"> </w:t>
            </w:r>
            <w:r>
              <w:rPr>
                <w:spacing w:val="8"/>
                <w:sz w:val="11"/>
                <w:szCs w:val="11"/>
              </w:rPr>
              <w:t>，交易活动终结；</w:t>
            </w:r>
          </w:p>
          <w:p w14:paraId="5416F0EA">
            <w:pPr>
              <w:pStyle w:val="7"/>
              <w:spacing w:before="1" w:line="228" w:lineRule="auto"/>
              <w:ind w:left="405"/>
              <w:rPr>
                <w:sz w:val="11"/>
                <w:szCs w:val="11"/>
              </w:rPr>
            </w:pPr>
            <w:r>
              <w:rPr>
                <w:spacing w:val="7"/>
                <w:sz w:val="11"/>
                <w:szCs w:val="11"/>
              </w:rPr>
              <w:t>（二）经资格审查</w:t>
            </w:r>
            <w:r>
              <w:rPr>
                <w:spacing w:val="1"/>
                <w:sz w:val="11"/>
                <w:szCs w:val="11"/>
              </w:rPr>
              <w:t xml:space="preserve"> </w:t>
            </w:r>
            <w:r>
              <w:rPr>
                <w:spacing w:val="7"/>
                <w:sz w:val="11"/>
                <w:szCs w:val="11"/>
              </w:rPr>
              <w:t>，没有符合资格的意向投资人</w:t>
            </w:r>
            <w:r>
              <w:rPr>
                <w:spacing w:val="-15"/>
                <w:sz w:val="11"/>
                <w:szCs w:val="11"/>
              </w:rPr>
              <w:t xml:space="preserve"> </w:t>
            </w:r>
            <w:r>
              <w:rPr>
                <w:spacing w:val="7"/>
                <w:sz w:val="11"/>
                <w:szCs w:val="11"/>
              </w:rPr>
              <w:t>，交易活动终结；</w:t>
            </w:r>
          </w:p>
          <w:p w14:paraId="7088BB90">
            <w:pPr>
              <w:pStyle w:val="7"/>
              <w:spacing w:before="1" w:line="228" w:lineRule="auto"/>
              <w:ind w:left="405"/>
              <w:rPr>
                <w:sz w:val="11"/>
                <w:szCs w:val="11"/>
              </w:rPr>
            </w:pPr>
            <w:r>
              <w:rPr>
                <w:spacing w:val="9"/>
                <w:sz w:val="11"/>
                <w:szCs w:val="11"/>
              </w:rPr>
              <w:t>（三）在交易过程中出现不可抗力或其他因素</w:t>
            </w:r>
            <w:r>
              <w:rPr>
                <w:spacing w:val="-15"/>
                <w:sz w:val="11"/>
                <w:szCs w:val="11"/>
              </w:rPr>
              <w:t xml:space="preserve"> </w:t>
            </w:r>
            <w:r>
              <w:rPr>
                <w:spacing w:val="9"/>
                <w:sz w:val="11"/>
                <w:szCs w:val="11"/>
              </w:rPr>
              <w:t>，导致交易活动无法正</w:t>
            </w:r>
            <w:r>
              <w:rPr>
                <w:spacing w:val="8"/>
                <w:sz w:val="11"/>
                <w:szCs w:val="11"/>
              </w:rPr>
              <w:t>常进行的</w:t>
            </w:r>
            <w:r>
              <w:rPr>
                <w:spacing w:val="-14"/>
                <w:sz w:val="11"/>
                <w:szCs w:val="11"/>
              </w:rPr>
              <w:t xml:space="preserve"> </w:t>
            </w:r>
            <w:r>
              <w:rPr>
                <w:spacing w:val="8"/>
                <w:sz w:val="11"/>
                <w:szCs w:val="11"/>
              </w:rPr>
              <w:t>，根据情况交易活动予以中止或终结；</w:t>
            </w:r>
          </w:p>
          <w:p w14:paraId="624F6A8E">
            <w:pPr>
              <w:pStyle w:val="7"/>
              <w:spacing w:line="237" w:lineRule="auto"/>
              <w:ind w:left="405"/>
              <w:rPr>
                <w:sz w:val="11"/>
                <w:szCs w:val="11"/>
              </w:rPr>
            </w:pPr>
            <w:r>
              <w:rPr>
                <w:spacing w:val="8"/>
                <w:sz w:val="11"/>
                <w:szCs w:val="11"/>
              </w:rPr>
              <w:t>（四）项目中止的</w:t>
            </w:r>
            <w:r>
              <w:rPr>
                <w:spacing w:val="1"/>
                <w:sz w:val="11"/>
                <w:szCs w:val="11"/>
              </w:rPr>
              <w:t xml:space="preserve"> </w:t>
            </w:r>
            <w:r>
              <w:rPr>
                <w:spacing w:val="8"/>
                <w:sz w:val="11"/>
                <w:szCs w:val="11"/>
              </w:rPr>
              <w:t>，当导致交易活动无法正常进行的因素消失后</w:t>
            </w:r>
            <w:r>
              <w:rPr>
                <w:spacing w:val="-14"/>
                <w:sz w:val="11"/>
                <w:szCs w:val="11"/>
              </w:rPr>
              <w:t xml:space="preserve"> </w:t>
            </w:r>
            <w:r>
              <w:rPr>
                <w:spacing w:val="8"/>
                <w:sz w:val="11"/>
                <w:szCs w:val="11"/>
              </w:rPr>
              <w:t>，交易活动在调整时间后继续进行。</w:t>
            </w:r>
          </w:p>
          <w:p w14:paraId="18E13CC1">
            <w:pPr>
              <w:pStyle w:val="7"/>
              <w:spacing w:before="89" w:line="242" w:lineRule="auto"/>
              <w:ind w:left="3143"/>
              <w:outlineLvl w:val="0"/>
              <w:rPr>
                <w:sz w:val="11"/>
                <w:szCs w:val="11"/>
              </w:rPr>
            </w:pPr>
            <w:r>
              <w:rPr>
                <w:b/>
                <w:bCs/>
                <w:spacing w:val="9"/>
                <w:sz w:val="11"/>
                <w:szCs w:val="11"/>
              </w:rPr>
              <w:t>四、关于通知（复函）事项的说明</w:t>
            </w:r>
          </w:p>
          <w:p w14:paraId="2BD7FD42">
            <w:pPr>
              <w:pStyle w:val="7"/>
              <w:spacing w:before="106" w:line="195" w:lineRule="auto"/>
              <w:ind w:left="382"/>
              <w:rPr>
                <w:sz w:val="11"/>
                <w:szCs w:val="11"/>
              </w:rPr>
            </w:pPr>
            <w:r>
              <w:rPr>
                <w:b/>
                <w:bCs/>
                <w:spacing w:val="10"/>
                <w:sz w:val="11"/>
                <w:szCs w:val="11"/>
                <w:u w:val="single" w:color="auto"/>
              </w:rPr>
              <w:t>第十三条 交易中心可按以下任意一种方式向意向投资</w:t>
            </w:r>
            <w:r>
              <w:rPr>
                <w:b/>
                <w:bCs/>
                <w:spacing w:val="9"/>
                <w:sz w:val="11"/>
                <w:szCs w:val="11"/>
                <w:u w:val="single" w:color="auto"/>
              </w:rPr>
              <w:t>人发送有关事项通知：</w:t>
            </w:r>
          </w:p>
          <w:p w14:paraId="71CDB456">
            <w:pPr>
              <w:pStyle w:val="7"/>
              <w:spacing w:before="1" w:line="229" w:lineRule="auto"/>
              <w:ind w:left="403"/>
              <w:rPr>
                <w:sz w:val="11"/>
                <w:szCs w:val="11"/>
              </w:rPr>
            </w:pPr>
            <w:r>
              <w:rPr>
                <w:b/>
                <w:bCs/>
                <w:spacing w:val="9"/>
                <w:sz w:val="11"/>
                <w:szCs w:val="11"/>
              </w:rPr>
              <w:t>（一）通过交易中心官网发布有关事项通知（复函</w:t>
            </w:r>
            <w:r>
              <w:rPr>
                <w:b/>
                <w:bCs/>
                <w:sz w:val="11"/>
                <w:szCs w:val="11"/>
              </w:rPr>
              <w:t>）；</w:t>
            </w:r>
          </w:p>
          <w:p w14:paraId="720F3672">
            <w:pPr>
              <w:pStyle w:val="7"/>
              <w:spacing w:before="1" w:line="228" w:lineRule="auto"/>
              <w:ind w:left="403"/>
              <w:rPr>
                <w:sz w:val="11"/>
                <w:szCs w:val="11"/>
              </w:rPr>
            </w:pPr>
            <w:r>
              <w:rPr>
                <w:b/>
                <w:bCs/>
                <w:spacing w:val="9"/>
                <w:sz w:val="11"/>
                <w:szCs w:val="11"/>
              </w:rPr>
              <w:t>（二）通过交易中心平台向意向投资人的网上注册账户发送系统通</w:t>
            </w:r>
            <w:r>
              <w:rPr>
                <w:b/>
                <w:bCs/>
                <w:spacing w:val="8"/>
                <w:sz w:val="11"/>
                <w:szCs w:val="11"/>
              </w:rPr>
              <w:t>知；</w:t>
            </w:r>
          </w:p>
          <w:p w14:paraId="4B994745">
            <w:pPr>
              <w:pStyle w:val="7"/>
              <w:spacing w:before="1" w:line="228" w:lineRule="auto"/>
              <w:ind w:left="95" w:right="131" w:firstLine="307"/>
              <w:rPr>
                <w:sz w:val="11"/>
                <w:szCs w:val="11"/>
              </w:rPr>
            </w:pPr>
            <w:r>
              <w:rPr>
                <w:b/>
                <w:bCs/>
                <w:spacing w:val="10"/>
                <w:sz w:val="11"/>
                <w:szCs w:val="11"/>
              </w:rPr>
              <w:t>（三）通过项目公告披露的交易中心项目报名联系人的手机号码向意向投资人网上注册账</w:t>
            </w:r>
            <w:r>
              <w:rPr>
                <w:b/>
                <w:bCs/>
                <w:spacing w:val="9"/>
                <w:sz w:val="11"/>
                <w:szCs w:val="11"/>
              </w:rPr>
              <w:t>户或意向投资人提交的报名材料中载明的联系人手机号</w:t>
            </w:r>
            <w:r>
              <w:rPr>
                <w:b/>
                <w:bCs/>
                <w:spacing w:val="8"/>
                <w:sz w:val="11"/>
                <w:szCs w:val="11"/>
              </w:rPr>
              <w:t>码发送手机短信；</w:t>
            </w:r>
          </w:p>
          <w:p w14:paraId="423C63DA">
            <w:pPr>
              <w:pStyle w:val="7"/>
              <w:spacing w:before="1" w:line="228" w:lineRule="auto"/>
              <w:ind w:left="95" w:right="131" w:firstLine="307"/>
              <w:rPr>
                <w:sz w:val="11"/>
                <w:szCs w:val="11"/>
              </w:rPr>
            </w:pPr>
            <w:r>
              <w:rPr>
                <w:b/>
                <w:bCs/>
                <w:spacing w:val="10"/>
                <w:sz w:val="11"/>
                <w:szCs w:val="11"/>
              </w:rPr>
              <w:t>（四）通过项目公告披露的交易中心报名联系人的邮箱向意向投资人的网上注册账户的邮</w:t>
            </w:r>
            <w:r>
              <w:rPr>
                <w:b/>
                <w:bCs/>
                <w:spacing w:val="9"/>
                <w:sz w:val="11"/>
                <w:szCs w:val="11"/>
              </w:rPr>
              <w:t>箱或意向投资人提交的报名材料中载明的联系人邮箱发</w:t>
            </w:r>
            <w:r>
              <w:rPr>
                <w:b/>
                <w:bCs/>
                <w:spacing w:val="7"/>
                <w:sz w:val="11"/>
                <w:szCs w:val="11"/>
              </w:rPr>
              <w:t>送邮件；</w:t>
            </w:r>
          </w:p>
          <w:p w14:paraId="3612C056">
            <w:pPr>
              <w:pStyle w:val="7"/>
              <w:spacing w:before="2" w:line="228" w:lineRule="auto"/>
              <w:ind w:left="100" w:right="107" w:firstLine="302"/>
              <w:rPr>
                <w:sz w:val="11"/>
                <w:szCs w:val="11"/>
              </w:rPr>
            </w:pPr>
            <w:r>
              <w:rPr>
                <w:b/>
                <w:bCs/>
                <w:spacing w:val="10"/>
                <w:sz w:val="11"/>
                <w:szCs w:val="11"/>
              </w:rPr>
              <w:t>（五）按意向投资人网上注册账户的联系地址或意向投资人提交的报名材料中载明的联系地址以邮寄方式发送（包括但不限于</w:t>
            </w:r>
            <w:r>
              <w:rPr>
                <w:b/>
                <w:bCs/>
                <w:sz w:val="11"/>
                <w:szCs w:val="11"/>
              </w:rPr>
              <w:t>EMS</w:t>
            </w:r>
            <w:r>
              <w:rPr>
                <w:b/>
                <w:bCs/>
                <w:spacing w:val="10"/>
                <w:sz w:val="11"/>
                <w:szCs w:val="11"/>
              </w:rPr>
              <w:t>、顺丰等</w:t>
            </w:r>
            <w:r>
              <w:rPr>
                <w:b/>
                <w:bCs/>
                <w:spacing w:val="9"/>
                <w:sz w:val="11"/>
                <w:szCs w:val="11"/>
              </w:rPr>
              <w:t>快递</w:t>
            </w:r>
            <w:r>
              <w:rPr>
                <w:b/>
                <w:bCs/>
                <w:spacing w:val="8"/>
                <w:sz w:val="11"/>
                <w:szCs w:val="11"/>
              </w:rPr>
              <w:t>邮寄方式</w:t>
            </w:r>
            <w:r>
              <w:rPr>
                <w:b/>
                <w:bCs/>
                <w:sz w:val="11"/>
                <w:szCs w:val="11"/>
              </w:rPr>
              <w:t>）；</w:t>
            </w:r>
          </w:p>
          <w:p w14:paraId="673122A1">
            <w:pPr>
              <w:pStyle w:val="7"/>
              <w:spacing w:before="1" w:line="228" w:lineRule="auto"/>
              <w:ind w:left="403"/>
              <w:rPr>
                <w:sz w:val="11"/>
                <w:szCs w:val="11"/>
              </w:rPr>
            </w:pPr>
            <w:r>
              <w:rPr>
                <w:b/>
                <w:bCs/>
                <w:spacing w:val="7"/>
                <w:sz w:val="11"/>
                <w:szCs w:val="11"/>
              </w:rPr>
              <w:t>（六）法律法规规定的其他方式。</w:t>
            </w:r>
          </w:p>
          <w:p w14:paraId="17BA3030">
            <w:pPr>
              <w:pStyle w:val="7"/>
              <w:spacing w:before="3" w:line="233" w:lineRule="auto"/>
              <w:ind w:left="95" w:right="121" w:firstLine="288"/>
              <w:rPr>
                <w:sz w:val="11"/>
                <w:szCs w:val="11"/>
              </w:rPr>
            </w:pPr>
            <w:r>
              <w:rPr>
                <w:b/>
                <w:bCs/>
                <w:spacing w:val="11"/>
                <w:sz w:val="11"/>
                <w:szCs w:val="11"/>
                <w:u w:val="single" w:color="auto"/>
              </w:rPr>
              <w:t>交易中心网站信息</w:t>
            </w:r>
            <w:r>
              <w:rPr>
                <w:rFonts w:ascii="宋体" w:hAnsi="宋体" w:eastAsia="宋体" w:cs="宋体"/>
                <w:spacing w:val="11"/>
                <w:sz w:val="11"/>
                <w:szCs w:val="11"/>
                <w:u w:val="single" w:color="auto"/>
              </w:rPr>
              <w:t>或交易中心平台系统通知</w:t>
            </w:r>
            <w:r>
              <w:rPr>
                <w:b/>
                <w:bCs/>
                <w:spacing w:val="11"/>
                <w:sz w:val="11"/>
                <w:szCs w:val="11"/>
                <w:u w:val="single" w:color="auto"/>
              </w:rPr>
              <w:t>或手机短信或邮件一旦发送成功即视为通知（复函）已经送达</w:t>
            </w:r>
            <w:r>
              <w:rPr>
                <w:b/>
                <w:bCs/>
                <w:spacing w:val="10"/>
                <w:sz w:val="11"/>
                <w:szCs w:val="11"/>
                <w:u w:val="single" w:color="auto"/>
              </w:rPr>
              <w:t>；以邮寄方式进行的通知</w:t>
            </w:r>
            <w:r>
              <w:rPr>
                <w:b/>
                <w:bCs/>
                <w:spacing w:val="-17"/>
                <w:sz w:val="11"/>
                <w:szCs w:val="11"/>
                <w:u w:val="single" w:color="auto"/>
              </w:rPr>
              <w:t xml:space="preserve"> </w:t>
            </w:r>
            <w:r>
              <w:rPr>
                <w:b/>
                <w:bCs/>
                <w:spacing w:val="10"/>
                <w:sz w:val="11"/>
                <w:szCs w:val="11"/>
                <w:u w:val="single" w:color="auto"/>
              </w:rPr>
              <w:t>，应采用邮政挂号快件或特快专递（</w:t>
            </w:r>
            <w:r>
              <w:rPr>
                <w:b/>
                <w:bCs/>
                <w:sz w:val="11"/>
                <w:szCs w:val="11"/>
                <w:u w:val="single" w:color="auto"/>
              </w:rPr>
              <w:t>EMS</w:t>
            </w:r>
            <w:r>
              <w:rPr>
                <w:b/>
                <w:bCs/>
                <w:spacing w:val="10"/>
                <w:sz w:val="11"/>
                <w:szCs w:val="11"/>
                <w:u w:val="single" w:color="auto"/>
              </w:rPr>
              <w:t>、顺丰等）的方式进行,在被通知的意向投资人签收后即为已经送达</w:t>
            </w:r>
            <w:r>
              <w:rPr>
                <w:b/>
                <w:bCs/>
                <w:spacing w:val="-17"/>
                <w:sz w:val="11"/>
                <w:szCs w:val="11"/>
                <w:u w:val="single" w:color="auto"/>
              </w:rPr>
              <w:t xml:space="preserve"> </w:t>
            </w:r>
            <w:r>
              <w:rPr>
                <w:b/>
                <w:bCs/>
                <w:spacing w:val="10"/>
                <w:sz w:val="11"/>
                <w:szCs w:val="11"/>
                <w:u w:val="single" w:color="auto"/>
              </w:rPr>
              <w:t>，若被通知的意向投资人拒绝签收或退</w:t>
            </w:r>
            <w:r>
              <w:rPr>
                <w:b/>
                <w:bCs/>
                <w:spacing w:val="9"/>
                <w:sz w:val="11"/>
                <w:szCs w:val="11"/>
                <w:u w:val="single" w:color="auto"/>
              </w:rPr>
              <w:t>回或无法投递</w:t>
            </w:r>
            <w:r>
              <w:rPr>
                <w:b/>
                <w:bCs/>
                <w:spacing w:val="10"/>
                <w:sz w:val="11"/>
                <w:szCs w:val="11"/>
                <w:u w:val="single" w:color="auto"/>
              </w:rPr>
              <w:t>的</w:t>
            </w:r>
            <w:r>
              <w:rPr>
                <w:b/>
                <w:bCs/>
                <w:spacing w:val="-18"/>
                <w:sz w:val="11"/>
                <w:szCs w:val="11"/>
                <w:u w:val="single" w:color="auto"/>
              </w:rPr>
              <w:t xml:space="preserve"> </w:t>
            </w:r>
            <w:r>
              <w:rPr>
                <w:b/>
                <w:bCs/>
                <w:spacing w:val="10"/>
                <w:sz w:val="11"/>
                <w:szCs w:val="11"/>
                <w:u w:val="single" w:color="auto"/>
              </w:rPr>
              <w:t>，在邮政挂号快件或特快专递系统显示被通知的意向投资人拒绝签收或退回或投递异常记录时即视为</w:t>
            </w:r>
            <w:r>
              <w:rPr>
                <w:b/>
                <w:bCs/>
                <w:spacing w:val="9"/>
                <w:sz w:val="11"/>
                <w:szCs w:val="11"/>
                <w:u w:val="single" w:color="auto"/>
              </w:rPr>
              <w:t>已经送达被通知人；如采用专人送递在交付后</w:t>
            </w:r>
            <w:r>
              <w:rPr>
                <w:b/>
                <w:bCs/>
                <w:spacing w:val="10"/>
                <w:sz w:val="11"/>
                <w:szCs w:val="11"/>
                <w:u w:val="single" w:color="auto"/>
              </w:rPr>
              <w:t>即被视为送达</w:t>
            </w:r>
            <w:r>
              <w:rPr>
                <w:b/>
                <w:bCs/>
                <w:spacing w:val="-18"/>
                <w:sz w:val="11"/>
                <w:szCs w:val="11"/>
                <w:u w:val="single" w:color="auto"/>
              </w:rPr>
              <w:t xml:space="preserve"> </w:t>
            </w:r>
            <w:r>
              <w:rPr>
                <w:b/>
                <w:bCs/>
                <w:spacing w:val="10"/>
                <w:sz w:val="11"/>
                <w:szCs w:val="11"/>
                <w:u w:val="single" w:color="auto"/>
              </w:rPr>
              <w:t>，通知（复函）送达即表明意向投资人已知悉通知（复函）送达内容。若因意向投资人网</w:t>
            </w:r>
            <w:r>
              <w:rPr>
                <w:b/>
                <w:bCs/>
                <w:spacing w:val="9"/>
                <w:sz w:val="11"/>
                <w:szCs w:val="11"/>
                <w:u w:val="single" w:color="auto"/>
              </w:rPr>
              <w:t>上注册账户或提交的报名材料中载明的联系人</w:t>
            </w:r>
            <w:r>
              <w:rPr>
                <w:b/>
                <w:bCs/>
                <w:spacing w:val="11"/>
                <w:sz w:val="11"/>
                <w:szCs w:val="11"/>
                <w:u w:val="single" w:color="auto"/>
              </w:rPr>
              <w:t>手机号码、邮箱有误</w:t>
            </w:r>
            <w:r>
              <w:rPr>
                <w:b/>
                <w:bCs/>
                <w:spacing w:val="-17"/>
                <w:sz w:val="11"/>
                <w:szCs w:val="11"/>
                <w:u w:val="single" w:color="auto"/>
              </w:rPr>
              <w:t xml:space="preserve"> </w:t>
            </w:r>
            <w:r>
              <w:rPr>
                <w:b/>
                <w:bCs/>
                <w:spacing w:val="11"/>
                <w:sz w:val="11"/>
                <w:szCs w:val="11"/>
                <w:u w:val="single" w:color="auto"/>
              </w:rPr>
              <w:t>，或</w:t>
            </w:r>
            <w:r>
              <w:rPr>
                <w:rFonts w:ascii="宋体" w:hAnsi="宋体" w:eastAsia="宋体" w:cs="宋体"/>
                <w:spacing w:val="11"/>
                <w:sz w:val="11"/>
                <w:szCs w:val="11"/>
                <w:u w:val="single" w:color="auto"/>
              </w:rPr>
              <w:t>意向投资人</w:t>
            </w:r>
            <w:r>
              <w:rPr>
                <w:b/>
                <w:bCs/>
                <w:spacing w:val="11"/>
                <w:sz w:val="11"/>
                <w:szCs w:val="11"/>
                <w:u w:val="single" w:color="auto"/>
              </w:rPr>
              <w:t>未及时查看网站信息或</w:t>
            </w:r>
            <w:r>
              <w:rPr>
                <w:rFonts w:ascii="宋体" w:hAnsi="宋体" w:eastAsia="宋体" w:cs="宋体"/>
                <w:spacing w:val="11"/>
                <w:sz w:val="11"/>
                <w:szCs w:val="11"/>
                <w:u w:val="single" w:color="auto"/>
              </w:rPr>
              <w:t>交易中心平台系统通知</w:t>
            </w:r>
            <w:r>
              <w:rPr>
                <w:b/>
                <w:bCs/>
                <w:spacing w:val="11"/>
                <w:sz w:val="11"/>
                <w:szCs w:val="11"/>
                <w:u w:val="single" w:color="auto"/>
              </w:rPr>
              <w:t>或手机短信或邮件或信件</w:t>
            </w:r>
            <w:r>
              <w:rPr>
                <w:b/>
                <w:bCs/>
                <w:spacing w:val="-17"/>
                <w:sz w:val="11"/>
                <w:szCs w:val="11"/>
                <w:u w:val="single" w:color="auto"/>
              </w:rPr>
              <w:t xml:space="preserve"> </w:t>
            </w:r>
            <w:r>
              <w:rPr>
                <w:b/>
                <w:bCs/>
                <w:spacing w:val="11"/>
                <w:sz w:val="11"/>
                <w:szCs w:val="11"/>
                <w:u w:val="single" w:color="auto"/>
              </w:rPr>
              <w:t>，造成其无法及时</w:t>
            </w:r>
            <w:r>
              <w:rPr>
                <w:b/>
                <w:bCs/>
                <w:spacing w:val="10"/>
                <w:sz w:val="11"/>
                <w:szCs w:val="11"/>
                <w:u w:val="single" w:color="auto"/>
              </w:rPr>
              <w:t>参与交易或无法交割</w:t>
            </w:r>
            <w:r>
              <w:rPr>
                <w:b/>
                <w:bCs/>
                <w:spacing w:val="8"/>
                <w:sz w:val="11"/>
                <w:szCs w:val="11"/>
                <w:u w:val="single" w:color="auto"/>
              </w:rPr>
              <w:t>的</w:t>
            </w:r>
            <w:r>
              <w:rPr>
                <w:b/>
                <w:bCs/>
                <w:spacing w:val="-6"/>
                <w:sz w:val="11"/>
                <w:szCs w:val="11"/>
                <w:u w:val="single" w:color="auto"/>
              </w:rPr>
              <w:t xml:space="preserve"> </w:t>
            </w:r>
            <w:r>
              <w:rPr>
                <w:b/>
                <w:bCs/>
                <w:spacing w:val="8"/>
                <w:sz w:val="11"/>
                <w:szCs w:val="11"/>
                <w:u w:val="single" w:color="auto"/>
              </w:rPr>
              <w:t>，由意向投资人自行承担责任。</w:t>
            </w:r>
          </w:p>
          <w:p w14:paraId="5389549F">
            <w:pPr>
              <w:pStyle w:val="7"/>
              <w:spacing w:before="2" w:line="238" w:lineRule="auto"/>
              <w:ind w:left="94" w:right="95" w:firstLine="287"/>
              <w:rPr>
                <w:sz w:val="11"/>
                <w:szCs w:val="11"/>
              </w:rPr>
            </w:pPr>
            <w:r>
              <w:rPr>
                <w:b/>
                <w:bCs/>
                <w:spacing w:val="10"/>
                <w:sz w:val="11"/>
                <w:szCs w:val="11"/>
              </w:rPr>
              <w:t>第十四条 意向投资人对于交易中心在组织项目竞价、交易过程中任何发出且要求回复的函件、通知等文件应在送达后应</w:t>
            </w:r>
            <w:r>
              <w:rPr>
                <w:b/>
                <w:bCs/>
                <w:spacing w:val="9"/>
                <w:sz w:val="11"/>
                <w:szCs w:val="11"/>
              </w:rPr>
              <w:t>及时或根据上述函件、通知等文件要求的时限予以回复</w:t>
            </w:r>
            <w:r>
              <w:rPr>
                <w:b/>
                <w:bCs/>
                <w:spacing w:val="1"/>
                <w:sz w:val="11"/>
                <w:szCs w:val="11"/>
              </w:rPr>
              <w:t xml:space="preserve"> </w:t>
            </w:r>
            <w:r>
              <w:rPr>
                <w:b/>
                <w:bCs/>
                <w:spacing w:val="9"/>
                <w:sz w:val="11"/>
                <w:szCs w:val="11"/>
              </w:rPr>
              <w:t>，不予回复或逾期回复的</w:t>
            </w:r>
            <w:r>
              <w:rPr>
                <w:b/>
                <w:bCs/>
                <w:spacing w:val="-18"/>
                <w:sz w:val="11"/>
                <w:szCs w:val="11"/>
              </w:rPr>
              <w:t xml:space="preserve"> </w:t>
            </w:r>
            <w:r>
              <w:rPr>
                <w:b/>
                <w:bCs/>
                <w:spacing w:val="9"/>
                <w:sz w:val="11"/>
                <w:szCs w:val="11"/>
              </w:rPr>
              <w:t>，视为意向投资人对交易中心发出的函件、通知等文件的内容及所涉相关事项表示同意。</w:t>
            </w:r>
          </w:p>
          <w:p w14:paraId="7854DCC6">
            <w:pPr>
              <w:pStyle w:val="7"/>
              <w:spacing w:before="75" w:line="197" w:lineRule="auto"/>
              <w:ind w:left="3223"/>
              <w:outlineLvl w:val="0"/>
              <w:rPr>
                <w:sz w:val="11"/>
                <w:szCs w:val="11"/>
              </w:rPr>
            </w:pPr>
            <w:r>
              <w:rPr>
                <w:b/>
                <w:bCs/>
                <w:spacing w:val="9"/>
                <w:sz w:val="11"/>
                <w:szCs w:val="11"/>
              </w:rPr>
              <w:t>五、关于项目公告修改和补充的说明</w:t>
            </w:r>
          </w:p>
          <w:p w14:paraId="2B401BE5">
            <w:pPr>
              <w:pStyle w:val="7"/>
              <w:spacing w:before="125" w:line="196" w:lineRule="auto"/>
              <w:ind w:left="383"/>
              <w:rPr>
                <w:sz w:val="11"/>
                <w:szCs w:val="11"/>
              </w:rPr>
            </w:pPr>
            <w:r>
              <w:rPr>
                <w:spacing w:val="9"/>
                <w:sz w:val="11"/>
                <w:szCs w:val="11"/>
              </w:rPr>
              <w:t>第十五条 在报名截止时间前</w:t>
            </w:r>
            <w:r>
              <w:rPr>
                <w:spacing w:val="-8"/>
                <w:sz w:val="11"/>
                <w:szCs w:val="11"/>
              </w:rPr>
              <w:t xml:space="preserve"> </w:t>
            </w:r>
            <w:r>
              <w:rPr>
                <w:spacing w:val="9"/>
                <w:sz w:val="11"/>
                <w:szCs w:val="11"/>
              </w:rPr>
              <w:t>，交易中心和委托方可以按规定以补充通知的方式修改项目公告的内容。</w:t>
            </w:r>
          </w:p>
          <w:p w14:paraId="313C2D6D">
            <w:pPr>
              <w:pStyle w:val="7"/>
              <w:spacing w:before="25" w:line="223" w:lineRule="auto"/>
              <w:ind w:left="95" w:right="94" w:firstLine="288"/>
              <w:rPr>
                <w:sz w:val="11"/>
                <w:szCs w:val="11"/>
              </w:rPr>
            </w:pPr>
            <w:r>
              <w:rPr>
                <w:spacing w:val="10"/>
                <w:sz w:val="11"/>
                <w:szCs w:val="11"/>
              </w:rPr>
              <w:t xml:space="preserve">第十六条 </w:t>
            </w:r>
            <w:r>
              <w:rPr>
                <w:b/>
                <w:bCs/>
                <w:spacing w:val="10"/>
                <w:sz w:val="11"/>
                <w:szCs w:val="11"/>
                <w:u w:val="single" w:color="auto"/>
              </w:rPr>
              <w:t>意向投资人如对项目公告有疑问</w:t>
            </w:r>
            <w:r>
              <w:rPr>
                <w:b/>
                <w:bCs/>
                <w:spacing w:val="-17"/>
                <w:sz w:val="11"/>
                <w:szCs w:val="11"/>
                <w:u w:val="single" w:color="auto"/>
              </w:rPr>
              <w:t xml:space="preserve"> </w:t>
            </w:r>
            <w:r>
              <w:rPr>
                <w:b/>
                <w:bCs/>
                <w:spacing w:val="10"/>
                <w:sz w:val="11"/>
                <w:szCs w:val="11"/>
                <w:u w:val="single" w:color="auto"/>
              </w:rPr>
              <w:t>，应以</w:t>
            </w:r>
            <w:r>
              <w:rPr>
                <w:b/>
                <w:bCs/>
                <w:spacing w:val="9"/>
                <w:sz w:val="11"/>
                <w:szCs w:val="11"/>
                <w:u w:val="single" w:color="auto"/>
              </w:rPr>
              <w:t>书面形式向交易中心或委托方提出</w:t>
            </w:r>
            <w:r>
              <w:rPr>
                <w:b/>
                <w:bCs/>
                <w:spacing w:val="-18"/>
                <w:sz w:val="11"/>
                <w:szCs w:val="11"/>
                <w:u w:val="single" w:color="auto"/>
              </w:rPr>
              <w:t xml:space="preserve"> </w:t>
            </w:r>
            <w:r>
              <w:rPr>
                <w:b/>
                <w:bCs/>
                <w:spacing w:val="9"/>
                <w:sz w:val="11"/>
                <w:szCs w:val="11"/>
                <w:u w:val="single" w:color="auto"/>
              </w:rPr>
              <w:t>，</w:t>
            </w:r>
            <w:r>
              <w:rPr>
                <w:spacing w:val="9"/>
                <w:sz w:val="11"/>
                <w:szCs w:val="11"/>
              </w:rPr>
              <w:t>由交易中心或委托方在收到疑问后及时按照本须知关于通知</w:t>
            </w:r>
            <w:r>
              <w:rPr>
                <w:spacing w:val="10"/>
                <w:sz w:val="11"/>
                <w:szCs w:val="11"/>
              </w:rPr>
              <w:t>（复函）事项的说明的方式给予答复。</w:t>
            </w:r>
            <w:r>
              <w:rPr>
                <w:b/>
                <w:bCs/>
                <w:spacing w:val="10"/>
                <w:sz w:val="11"/>
                <w:szCs w:val="11"/>
                <w:u w:val="single" w:color="auto"/>
              </w:rPr>
              <w:t>意向投资人若有疑问应在项目报名截止时间前2个工作日</w:t>
            </w:r>
            <w:r>
              <w:rPr>
                <w:b/>
                <w:bCs/>
                <w:spacing w:val="9"/>
                <w:sz w:val="11"/>
                <w:szCs w:val="11"/>
                <w:u w:val="single" w:color="auto"/>
              </w:rPr>
              <w:t>提出</w:t>
            </w:r>
            <w:r>
              <w:rPr>
                <w:b/>
                <w:bCs/>
                <w:spacing w:val="-18"/>
                <w:sz w:val="11"/>
                <w:szCs w:val="11"/>
                <w:u w:val="single" w:color="auto"/>
              </w:rPr>
              <w:t xml:space="preserve"> </w:t>
            </w:r>
            <w:r>
              <w:rPr>
                <w:b/>
                <w:bCs/>
                <w:spacing w:val="9"/>
                <w:sz w:val="11"/>
                <w:szCs w:val="11"/>
                <w:u w:val="single" w:color="auto"/>
              </w:rPr>
              <w:t>，并在提出疑问的书面函件中预留联系方式（包括</w:t>
            </w:r>
            <w:r>
              <w:rPr>
                <w:b/>
                <w:bCs/>
                <w:spacing w:val="10"/>
                <w:sz w:val="11"/>
                <w:szCs w:val="11"/>
                <w:u w:val="single" w:color="auto"/>
              </w:rPr>
              <w:t>意向投资人名称、联系人、联系电话、邮箱和联系地址</w:t>
            </w:r>
            <w:r>
              <w:rPr>
                <w:b/>
                <w:bCs/>
                <w:spacing w:val="-2"/>
                <w:sz w:val="11"/>
                <w:szCs w:val="11"/>
                <w:u w:val="single" w:color="auto"/>
              </w:rPr>
              <w:t>）</w:t>
            </w:r>
            <w:r>
              <w:rPr>
                <w:b/>
                <w:bCs/>
                <w:spacing w:val="-7"/>
                <w:sz w:val="11"/>
                <w:szCs w:val="11"/>
                <w:u w:val="single" w:color="auto"/>
              </w:rPr>
              <w:t xml:space="preserve"> </w:t>
            </w:r>
            <w:r>
              <w:rPr>
                <w:b/>
                <w:bCs/>
                <w:spacing w:val="-2"/>
                <w:sz w:val="11"/>
                <w:szCs w:val="11"/>
                <w:u w:val="single" w:color="auto"/>
              </w:rPr>
              <w:t>，</w:t>
            </w:r>
            <w:r>
              <w:rPr>
                <w:b/>
                <w:bCs/>
                <w:spacing w:val="10"/>
                <w:sz w:val="11"/>
                <w:szCs w:val="11"/>
                <w:u w:val="single" w:color="auto"/>
              </w:rPr>
              <w:t>否</w:t>
            </w:r>
            <w:r>
              <w:rPr>
                <w:b/>
                <w:bCs/>
                <w:spacing w:val="9"/>
                <w:sz w:val="11"/>
                <w:szCs w:val="11"/>
                <w:u w:val="single" w:color="auto"/>
              </w:rPr>
              <w:t>则不予答复。</w:t>
            </w:r>
          </w:p>
          <w:p w14:paraId="58A11951">
            <w:pPr>
              <w:pStyle w:val="7"/>
              <w:spacing w:before="104" w:line="197" w:lineRule="auto"/>
              <w:ind w:left="3522"/>
              <w:outlineLvl w:val="0"/>
              <w:rPr>
                <w:sz w:val="11"/>
                <w:szCs w:val="11"/>
              </w:rPr>
            </w:pPr>
            <w:r>
              <w:rPr>
                <w:b/>
                <w:bCs/>
                <w:spacing w:val="9"/>
                <w:sz w:val="11"/>
                <w:szCs w:val="11"/>
              </w:rPr>
              <w:t>六、关于资格审核的说明</w:t>
            </w:r>
          </w:p>
          <w:p w14:paraId="42006E2E">
            <w:pPr>
              <w:pStyle w:val="7"/>
              <w:spacing w:before="102" w:line="243" w:lineRule="auto"/>
              <w:ind w:left="95" w:right="95" w:firstLine="287"/>
              <w:rPr>
                <w:sz w:val="11"/>
                <w:szCs w:val="11"/>
              </w:rPr>
            </w:pPr>
            <w:r>
              <w:rPr>
                <w:spacing w:val="10"/>
                <w:sz w:val="11"/>
                <w:szCs w:val="11"/>
              </w:rPr>
              <w:t>第十七条 交易中心或委托方对意向投资人是否符合资格条件（包括但不限于对意向投</w:t>
            </w:r>
            <w:r>
              <w:rPr>
                <w:spacing w:val="9"/>
                <w:sz w:val="11"/>
                <w:szCs w:val="11"/>
              </w:rPr>
              <w:t>资人提交的交易保证金和报名材料）进行审核确认</w:t>
            </w:r>
            <w:r>
              <w:rPr>
                <w:b/>
                <w:bCs/>
                <w:spacing w:val="-17"/>
                <w:sz w:val="11"/>
                <w:szCs w:val="11"/>
                <w:u w:val="single" w:color="auto"/>
              </w:rPr>
              <w:t xml:space="preserve"> </w:t>
            </w:r>
            <w:r>
              <w:rPr>
                <w:b/>
                <w:bCs/>
                <w:spacing w:val="9"/>
                <w:sz w:val="11"/>
                <w:szCs w:val="11"/>
                <w:u w:val="single" w:color="auto"/>
              </w:rPr>
              <w:t>，经资格</w:t>
            </w:r>
            <w:r>
              <w:rPr>
                <w:b/>
                <w:bCs/>
                <w:spacing w:val="10"/>
                <w:sz w:val="11"/>
                <w:szCs w:val="11"/>
                <w:u w:val="single" w:color="auto"/>
              </w:rPr>
              <w:t>审核确认合格的意向投资人方有资格参与竞价。</w:t>
            </w:r>
            <w:r>
              <w:rPr>
                <w:spacing w:val="10"/>
                <w:sz w:val="11"/>
                <w:szCs w:val="11"/>
              </w:rPr>
              <w:t>意向投资人须对所提交的报名材料的真实性、合法性、完整性和有效性负责。</w:t>
            </w:r>
            <w:r>
              <w:rPr>
                <w:b/>
                <w:bCs/>
                <w:spacing w:val="10"/>
                <w:sz w:val="11"/>
                <w:szCs w:val="11"/>
                <w:u w:val="single" w:color="auto"/>
              </w:rPr>
              <w:t>交易中心对</w:t>
            </w:r>
            <w:r>
              <w:rPr>
                <w:b/>
                <w:bCs/>
                <w:spacing w:val="9"/>
                <w:sz w:val="11"/>
                <w:szCs w:val="11"/>
                <w:u w:val="single" w:color="auto"/>
              </w:rPr>
              <w:t>意向投资人</w:t>
            </w:r>
            <w:r>
              <w:rPr>
                <w:b/>
                <w:bCs/>
                <w:spacing w:val="10"/>
                <w:sz w:val="11"/>
                <w:szCs w:val="11"/>
                <w:u w:val="single" w:color="auto"/>
              </w:rPr>
              <w:t>提交的报名材料进行完整性和规范性审核。对未通过资格审核的意向投资</w:t>
            </w:r>
            <w:r>
              <w:rPr>
                <w:b/>
                <w:bCs/>
                <w:spacing w:val="9"/>
                <w:sz w:val="11"/>
                <w:szCs w:val="11"/>
                <w:u w:val="single" w:color="auto"/>
              </w:rPr>
              <w:t>人</w:t>
            </w:r>
            <w:r>
              <w:rPr>
                <w:b/>
                <w:bCs/>
                <w:spacing w:val="-17"/>
                <w:sz w:val="11"/>
                <w:szCs w:val="11"/>
                <w:u w:val="single" w:color="auto"/>
              </w:rPr>
              <w:t xml:space="preserve"> </w:t>
            </w:r>
            <w:r>
              <w:rPr>
                <w:b/>
                <w:bCs/>
                <w:spacing w:val="9"/>
                <w:sz w:val="11"/>
                <w:szCs w:val="11"/>
                <w:u w:val="single" w:color="auto"/>
              </w:rPr>
              <w:t>，委托方和交易中心无需作出解释或说明。</w:t>
            </w:r>
          </w:p>
          <w:p w14:paraId="68E16CE2">
            <w:pPr>
              <w:pStyle w:val="7"/>
              <w:spacing w:before="79" w:line="196" w:lineRule="auto"/>
              <w:ind w:left="3523"/>
              <w:outlineLvl w:val="0"/>
              <w:rPr>
                <w:sz w:val="11"/>
                <w:szCs w:val="11"/>
              </w:rPr>
            </w:pPr>
            <w:r>
              <w:rPr>
                <w:b/>
                <w:bCs/>
                <w:spacing w:val="9"/>
                <w:sz w:val="11"/>
                <w:szCs w:val="11"/>
              </w:rPr>
              <w:t>七、关于网络竞价的说明</w:t>
            </w:r>
          </w:p>
          <w:p w14:paraId="4E881DF4">
            <w:pPr>
              <w:pStyle w:val="7"/>
              <w:spacing w:before="115" w:line="229" w:lineRule="auto"/>
              <w:ind w:left="95" w:right="96" w:firstLine="287"/>
              <w:rPr>
                <w:sz w:val="11"/>
                <w:szCs w:val="11"/>
              </w:rPr>
            </w:pPr>
            <w:r>
              <w:rPr>
                <w:spacing w:val="9"/>
                <w:sz w:val="11"/>
                <w:szCs w:val="11"/>
              </w:rPr>
              <w:t>第十八条 意向投资人的交易资格被确认后</w:t>
            </w:r>
            <w:r>
              <w:rPr>
                <w:spacing w:val="2"/>
                <w:sz w:val="11"/>
                <w:szCs w:val="11"/>
              </w:rPr>
              <w:t xml:space="preserve"> </w:t>
            </w:r>
            <w:r>
              <w:rPr>
                <w:spacing w:val="9"/>
                <w:sz w:val="11"/>
                <w:szCs w:val="11"/>
              </w:rPr>
              <w:t>，应按照项目公告的要求参与网络竞价。竞价过程中</w:t>
            </w:r>
            <w:r>
              <w:rPr>
                <w:spacing w:val="-14"/>
                <w:sz w:val="11"/>
                <w:szCs w:val="11"/>
              </w:rPr>
              <w:t xml:space="preserve"> </w:t>
            </w:r>
            <w:r>
              <w:rPr>
                <w:spacing w:val="9"/>
                <w:sz w:val="11"/>
                <w:szCs w:val="11"/>
              </w:rPr>
              <w:t>，意向投资人应遵循交易中心以及项目公告的交易</w:t>
            </w:r>
            <w:r>
              <w:rPr>
                <w:spacing w:val="8"/>
                <w:sz w:val="11"/>
                <w:szCs w:val="11"/>
              </w:rPr>
              <w:t>规则的相关规定规范操作。</w:t>
            </w:r>
          </w:p>
          <w:p w14:paraId="24978254">
            <w:pPr>
              <w:spacing w:line="302" w:lineRule="auto"/>
              <w:ind w:left="100" w:right="100" w:firstLine="286"/>
              <w:rPr>
                <w:rFonts w:ascii="宋体" w:hAnsi="宋体" w:eastAsia="宋体" w:cs="宋体"/>
                <w:sz w:val="11"/>
                <w:szCs w:val="11"/>
              </w:rPr>
            </w:pPr>
            <w:r>
              <w:rPr>
                <w:rFonts w:ascii="宋体" w:hAnsi="宋体" w:eastAsia="宋体" w:cs="宋体"/>
                <w:spacing w:val="15"/>
                <w:sz w:val="11"/>
                <w:szCs w:val="11"/>
              </w:rPr>
              <w:t>第十九条 意向投资人应遵守交易中心的交易规则，每个注册账户仅供一位意向投资人使用</w:t>
            </w:r>
            <w:r>
              <w:rPr>
                <w:rFonts w:ascii="宋体" w:hAnsi="宋体" w:eastAsia="宋体" w:cs="宋体"/>
                <w:spacing w:val="-32"/>
                <w:sz w:val="11"/>
                <w:szCs w:val="11"/>
              </w:rPr>
              <w:t xml:space="preserve"> </w:t>
            </w:r>
            <w:r>
              <w:rPr>
                <w:rFonts w:ascii="宋体" w:hAnsi="宋体" w:eastAsia="宋体" w:cs="宋体"/>
                <w:spacing w:val="15"/>
                <w:sz w:val="11"/>
                <w:szCs w:val="11"/>
              </w:rPr>
              <w:t>。</w:t>
            </w:r>
            <w:r>
              <w:rPr>
                <w:rFonts w:ascii="宋体" w:hAnsi="宋体" w:eastAsia="宋体" w:cs="宋体"/>
                <w:spacing w:val="15"/>
                <w:sz w:val="11"/>
                <w:szCs w:val="11"/>
                <w:u w:val="single" w:color="auto"/>
              </w:rPr>
              <w:t>凡使用该账户所进行的一</w:t>
            </w:r>
            <w:r>
              <w:rPr>
                <w:rFonts w:ascii="宋体" w:hAnsi="宋体" w:eastAsia="宋体" w:cs="宋体"/>
                <w:spacing w:val="14"/>
                <w:sz w:val="11"/>
                <w:szCs w:val="11"/>
                <w:u w:val="single" w:color="auto"/>
              </w:rPr>
              <w:t>切报价，均视为意向</w:t>
            </w:r>
            <w:r>
              <w:rPr>
                <w:rFonts w:ascii="宋体" w:hAnsi="宋体" w:eastAsia="宋体" w:cs="宋体"/>
                <w:spacing w:val="15"/>
                <w:sz w:val="11"/>
                <w:szCs w:val="11"/>
                <w:u w:val="single" w:color="auto"/>
              </w:rPr>
              <w:t>投资人自行办理，报价与交易结果由该意向投资人承担全部责任</w:t>
            </w:r>
            <w:r>
              <w:rPr>
                <w:rFonts w:ascii="宋体" w:hAnsi="宋体" w:eastAsia="宋体" w:cs="宋体"/>
                <w:spacing w:val="-33"/>
                <w:sz w:val="11"/>
                <w:szCs w:val="11"/>
                <w:u w:val="single" w:color="auto"/>
              </w:rPr>
              <w:t xml:space="preserve"> </w:t>
            </w:r>
            <w:r>
              <w:rPr>
                <w:rFonts w:ascii="宋体" w:hAnsi="宋体" w:eastAsia="宋体" w:cs="宋体"/>
                <w:spacing w:val="15"/>
                <w:sz w:val="11"/>
                <w:szCs w:val="11"/>
                <w:u w:val="single" w:color="auto"/>
              </w:rPr>
              <w:t>。</w:t>
            </w:r>
          </w:p>
          <w:p w14:paraId="2DED5009">
            <w:pPr>
              <w:pStyle w:val="7"/>
              <w:spacing w:before="9" w:line="219" w:lineRule="auto"/>
              <w:ind w:left="95" w:right="95" w:firstLine="287"/>
              <w:rPr>
                <w:sz w:val="11"/>
                <w:szCs w:val="11"/>
              </w:rPr>
            </w:pPr>
            <w:r>
              <w:rPr>
                <w:spacing w:val="9"/>
                <w:sz w:val="11"/>
                <w:szCs w:val="11"/>
              </w:rPr>
              <w:t>第二十条 在网络竞价过程中</w:t>
            </w:r>
            <w:r>
              <w:rPr>
                <w:spacing w:val="2"/>
                <w:sz w:val="11"/>
                <w:szCs w:val="11"/>
              </w:rPr>
              <w:t xml:space="preserve"> </w:t>
            </w:r>
            <w:r>
              <w:rPr>
                <w:spacing w:val="9"/>
                <w:sz w:val="11"/>
                <w:szCs w:val="11"/>
              </w:rPr>
              <w:t>，如发生操作系统故障等无法继续竞价的情形时</w:t>
            </w:r>
            <w:r>
              <w:rPr>
                <w:spacing w:val="-14"/>
                <w:sz w:val="11"/>
                <w:szCs w:val="11"/>
              </w:rPr>
              <w:t xml:space="preserve"> </w:t>
            </w:r>
            <w:r>
              <w:rPr>
                <w:spacing w:val="9"/>
                <w:sz w:val="11"/>
                <w:szCs w:val="11"/>
              </w:rPr>
              <w:t>，交易中心将视具体情况作出中止、重新开始或调整网络竞价时间等的决定</w:t>
            </w:r>
            <w:r>
              <w:rPr>
                <w:spacing w:val="-15"/>
                <w:sz w:val="11"/>
                <w:szCs w:val="11"/>
              </w:rPr>
              <w:t xml:space="preserve"> </w:t>
            </w:r>
            <w:r>
              <w:rPr>
                <w:spacing w:val="9"/>
                <w:sz w:val="11"/>
                <w:szCs w:val="11"/>
              </w:rPr>
              <w:t>，并在交易中心官网予以公告</w:t>
            </w:r>
            <w:r>
              <w:rPr>
                <w:spacing w:val="-14"/>
                <w:sz w:val="11"/>
                <w:szCs w:val="11"/>
              </w:rPr>
              <w:t xml:space="preserve"> </w:t>
            </w:r>
            <w:r>
              <w:rPr>
                <w:spacing w:val="9"/>
                <w:sz w:val="11"/>
                <w:szCs w:val="11"/>
              </w:rPr>
              <w:t>，并按照本须知关于通知（复函）事项的说明的方式通知意向投资人</w:t>
            </w:r>
            <w:r>
              <w:rPr>
                <w:spacing w:val="-15"/>
                <w:sz w:val="11"/>
                <w:szCs w:val="11"/>
              </w:rPr>
              <w:t xml:space="preserve"> </w:t>
            </w:r>
            <w:r>
              <w:rPr>
                <w:spacing w:val="9"/>
                <w:sz w:val="11"/>
                <w:szCs w:val="11"/>
              </w:rPr>
              <w:t>，</w:t>
            </w:r>
            <w:r>
              <w:rPr>
                <w:b/>
                <w:bCs/>
                <w:spacing w:val="9"/>
                <w:sz w:val="11"/>
                <w:szCs w:val="11"/>
                <w:u w:val="single" w:color="auto"/>
              </w:rPr>
              <w:t>意向投资人应无条件</w:t>
            </w:r>
            <w:r>
              <w:rPr>
                <w:b/>
                <w:bCs/>
                <w:spacing w:val="8"/>
                <w:sz w:val="11"/>
                <w:szCs w:val="11"/>
                <w:u w:val="single" w:color="auto"/>
              </w:rPr>
              <w:t>接受此相应安排</w:t>
            </w:r>
            <w:r>
              <w:rPr>
                <w:b/>
                <w:bCs/>
                <w:spacing w:val="-17"/>
                <w:sz w:val="11"/>
                <w:szCs w:val="11"/>
                <w:u w:val="single" w:color="auto"/>
              </w:rPr>
              <w:t xml:space="preserve"> </w:t>
            </w:r>
            <w:r>
              <w:rPr>
                <w:b/>
                <w:bCs/>
                <w:spacing w:val="8"/>
                <w:sz w:val="11"/>
                <w:szCs w:val="11"/>
                <w:u w:val="single" w:color="auto"/>
              </w:rPr>
              <w:t>，交</w:t>
            </w:r>
            <w:r>
              <w:rPr>
                <w:b/>
                <w:bCs/>
                <w:spacing w:val="10"/>
                <w:sz w:val="11"/>
                <w:szCs w:val="11"/>
                <w:u w:val="single" w:color="auto"/>
              </w:rPr>
              <w:t>易中心和交易中心平台不承担任何责任。继续竞价或重新竞价的规</w:t>
            </w:r>
            <w:r>
              <w:rPr>
                <w:b/>
                <w:bCs/>
                <w:spacing w:val="9"/>
                <w:sz w:val="11"/>
                <w:szCs w:val="11"/>
                <w:u w:val="single" w:color="auto"/>
              </w:rPr>
              <w:t>则如下：</w:t>
            </w:r>
          </w:p>
          <w:p w14:paraId="1F49C572">
            <w:pPr>
              <w:pStyle w:val="7"/>
              <w:tabs>
                <w:tab w:val="left" w:pos="457"/>
              </w:tabs>
              <w:spacing w:line="228" w:lineRule="auto"/>
              <w:ind w:left="382"/>
              <w:rPr>
                <w:sz w:val="11"/>
                <w:szCs w:val="11"/>
              </w:rPr>
            </w:pPr>
            <w:r>
              <w:rPr>
                <w:b/>
                <w:bCs/>
                <w:sz w:val="11"/>
                <w:szCs w:val="11"/>
                <w:u w:val="single" w:color="auto"/>
              </w:rPr>
              <w:tab/>
            </w:r>
            <w:r>
              <w:rPr>
                <w:b/>
                <w:bCs/>
                <w:spacing w:val="8"/>
                <w:sz w:val="11"/>
                <w:szCs w:val="11"/>
                <w:u w:val="single" w:color="auto"/>
              </w:rPr>
              <w:t>（一）竞价记录可以恢复的</w:t>
            </w:r>
            <w:r>
              <w:rPr>
                <w:b/>
                <w:bCs/>
                <w:spacing w:val="-17"/>
                <w:sz w:val="11"/>
                <w:szCs w:val="11"/>
                <w:u w:val="single" w:color="auto"/>
              </w:rPr>
              <w:t xml:space="preserve"> </w:t>
            </w:r>
            <w:r>
              <w:rPr>
                <w:b/>
                <w:bCs/>
                <w:spacing w:val="8"/>
                <w:sz w:val="11"/>
                <w:szCs w:val="11"/>
                <w:u w:val="single" w:color="auto"/>
              </w:rPr>
              <w:t>，继续竞价。继续竞价时将增加一定时间的自由报</w:t>
            </w:r>
            <w:r>
              <w:rPr>
                <w:b/>
                <w:bCs/>
                <w:spacing w:val="7"/>
                <w:sz w:val="11"/>
                <w:szCs w:val="11"/>
                <w:u w:val="single" w:color="auto"/>
              </w:rPr>
              <w:t>价期</w:t>
            </w:r>
            <w:r>
              <w:rPr>
                <w:b/>
                <w:bCs/>
                <w:spacing w:val="-17"/>
                <w:sz w:val="11"/>
                <w:szCs w:val="11"/>
                <w:u w:val="single" w:color="auto"/>
              </w:rPr>
              <w:t xml:space="preserve"> </w:t>
            </w:r>
            <w:r>
              <w:rPr>
                <w:b/>
                <w:bCs/>
                <w:spacing w:val="7"/>
                <w:sz w:val="11"/>
                <w:szCs w:val="11"/>
                <w:u w:val="single" w:color="auto"/>
              </w:rPr>
              <w:t xml:space="preserve">，起始价为中止时意向投资人的最高有效报价；  </w:t>
            </w:r>
          </w:p>
          <w:p w14:paraId="60C384EA">
            <w:pPr>
              <w:pStyle w:val="7"/>
              <w:tabs>
                <w:tab w:val="left" w:pos="457"/>
              </w:tabs>
              <w:spacing w:before="1" w:line="241" w:lineRule="auto"/>
              <w:ind w:left="382"/>
              <w:rPr>
                <w:sz w:val="11"/>
                <w:szCs w:val="11"/>
              </w:rPr>
            </w:pPr>
            <w:r>
              <w:rPr>
                <w:b/>
                <w:bCs/>
                <w:sz w:val="11"/>
                <w:szCs w:val="11"/>
                <w:u w:val="single" w:color="auto"/>
              </w:rPr>
              <w:tab/>
            </w:r>
            <w:r>
              <w:rPr>
                <w:b/>
                <w:bCs/>
                <w:spacing w:val="6"/>
                <w:sz w:val="11"/>
                <w:szCs w:val="11"/>
                <w:u w:val="single" w:color="auto"/>
              </w:rPr>
              <w:t>（二）竞价记录无法恢复的</w:t>
            </w:r>
            <w:r>
              <w:rPr>
                <w:b/>
                <w:bCs/>
                <w:spacing w:val="-11"/>
                <w:sz w:val="11"/>
                <w:szCs w:val="11"/>
                <w:u w:val="single" w:color="auto"/>
              </w:rPr>
              <w:t xml:space="preserve"> </w:t>
            </w:r>
            <w:r>
              <w:rPr>
                <w:b/>
                <w:bCs/>
                <w:spacing w:val="6"/>
                <w:sz w:val="11"/>
                <w:szCs w:val="11"/>
                <w:u w:val="single" w:color="auto"/>
              </w:rPr>
              <w:t>，以挂牌价为起价重新竞价。</w:t>
            </w:r>
          </w:p>
          <w:p w14:paraId="6347B657">
            <w:pPr>
              <w:pStyle w:val="7"/>
              <w:spacing w:before="104" w:line="196" w:lineRule="auto"/>
              <w:ind w:left="3581"/>
              <w:outlineLvl w:val="0"/>
              <w:rPr>
                <w:sz w:val="11"/>
                <w:szCs w:val="11"/>
              </w:rPr>
            </w:pPr>
            <w:r>
              <w:rPr>
                <w:b/>
                <w:bCs/>
                <w:spacing w:val="9"/>
                <w:sz w:val="11"/>
                <w:szCs w:val="11"/>
              </w:rPr>
              <w:t>八、关于优先权的说明</w:t>
            </w:r>
          </w:p>
          <w:p w14:paraId="6417BE19">
            <w:pPr>
              <w:spacing w:before="116" w:line="235" w:lineRule="auto"/>
              <w:ind w:left="388"/>
              <w:rPr>
                <w:rFonts w:ascii="宋体" w:hAnsi="宋体" w:eastAsia="宋体" w:cs="宋体"/>
                <w:sz w:val="11"/>
                <w:szCs w:val="11"/>
              </w:rPr>
            </w:pPr>
            <w:r>
              <w:rPr>
                <w:rFonts w:ascii="宋体" w:hAnsi="宋体" w:eastAsia="宋体" w:cs="宋体"/>
                <w:spacing w:val="15"/>
                <w:sz w:val="11"/>
                <w:szCs w:val="11"/>
              </w:rPr>
              <w:t>项目若涉及优先权的，按照本条关于优先权的说明的相关规则执行。</w:t>
            </w:r>
          </w:p>
          <w:p w14:paraId="30E8DDF0">
            <w:pPr>
              <w:spacing w:before="40" w:line="282" w:lineRule="auto"/>
              <w:ind w:left="95" w:right="100" w:firstLine="291"/>
              <w:rPr>
                <w:rFonts w:ascii="宋体" w:hAnsi="宋体" w:eastAsia="宋体" w:cs="宋体"/>
                <w:sz w:val="11"/>
                <w:szCs w:val="11"/>
              </w:rPr>
            </w:pPr>
            <w:r>
              <w:rPr>
                <w:rFonts w:ascii="宋体" w:hAnsi="宋体" w:eastAsia="宋体" w:cs="宋体"/>
                <w:spacing w:val="15"/>
                <w:sz w:val="11"/>
                <w:szCs w:val="11"/>
              </w:rPr>
              <w:t>第二十一条 经征询仅产生1名优先购买权人且采用网络竞价方式行权的，拥有优先权的</w:t>
            </w:r>
            <w:r>
              <w:rPr>
                <w:rFonts w:ascii="宋体" w:hAnsi="宋体" w:eastAsia="宋体" w:cs="宋体"/>
                <w:spacing w:val="14"/>
                <w:sz w:val="11"/>
                <w:szCs w:val="11"/>
              </w:rPr>
              <w:t>意向投资人可以点击“报名并提交保证金之后</w:t>
            </w:r>
            <w:r>
              <w:rPr>
                <w:rFonts w:ascii="宋体" w:hAnsi="宋体" w:eastAsia="宋体" w:cs="宋体"/>
                <w:spacing w:val="-33"/>
                <w:sz w:val="11"/>
                <w:szCs w:val="11"/>
              </w:rPr>
              <w:t xml:space="preserve"> </w:t>
            </w:r>
            <w:r>
              <w:rPr>
                <w:rFonts w:ascii="宋体" w:hAnsi="宋体" w:eastAsia="宋体" w:cs="宋体"/>
                <w:spacing w:val="14"/>
                <w:sz w:val="11"/>
                <w:szCs w:val="11"/>
              </w:rPr>
              <w:t>”,在“受让申请</w:t>
            </w:r>
            <w:r>
              <w:rPr>
                <w:rFonts w:ascii="宋体" w:hAnsi="宋体" w:eastAsia="宋体" w:cs="宋体"/>
                <w:spacing w:val="-33"/>
                <w:sz w:val="11"/>
                <w:szCs w:val="11"/>
              </w:rPr>
              <w:t xml:space="preserve"> </w:t>
            </w:r>
            <w:r>
              <w:rPr>
                <w:rFonts w:ascii="宋体" w:hAnsi="宋体" w:eastAsia="宋体" w:cs="宋体"/>
                <w:spacing w:val="14"/>
                <w:sz w:val="11"/>
                <w:szCs w:val="11"/>
              </w:rPr>
              <w:t>”里“是否主张优先权</w:t>
            </w:r>
            <w:r>
              <w:rPr>
                <w:rFonts w:ascii="宋体" w:hAnsi="宋体" w:eastAsia="宋体" w:cs="宋体"/>
                <w:spacing w:val="-33"/>
                <w:sz w:val="11"/>
                <w:szCs w:val="11"/>
              </w:rPr>
              <w:t xml:space="preserve"> </w:t>
            </w:r>
            <w:r>
              <w:rPr>
                <w:rFonts w:ascii="宋体" w:hAnsi="宋体" w:eastAsia="宋体" w:cs="宋体"/>
                <w:spacing w:val="14"/>
                <w:sz w:val="11"/>
                <w:szCs w:val="11"/>
              </w:rPr>
              <w:t>”点击“是</w:t>
            </w:r>
            <w:r>
              <w:rPr>
                <w:rFonts w:ascii="宋体" w:hAnsi="宋体" w:eastAsia="宋体" w:cs="宋体"/>
                <w:spacing w:val="-33"/>
                <w:sz w:val="11"/>
                <w:szCs w:val="11"/>
              </w:rPr>
              <w:t xml:space="preserve"> </w:t>
            </w:r>
            <w:r>
              <w:rPr>
                <w:rFonts w:ascii="宋体" w:hAnsi="宋体" w:eastAsia="宋体" w:cs="宋体"/>
                <w:spacing w:val="14"/>
                <w:sz w:val="11"/>
                <w:szCs w:val="11"/>
              </w:rPr>
              <w:t>”。该意向投资人参加竞价在同等条件下享有优</w:t>
            </w:r>
            <w:r>
              <w:rPr>
                <w:rFonts w:ascii="宋体" w:hAnsi="宋体" w:eastAsia="宋体" w:cs="宋体"/>
                <w:spacing w:val="13"/>
                <w:sz w:val="11"/>
                <w:szCs w:val="11"/>
              </w:rPr>
              <w:t>先权。</w:t>
            </w:r>
          </w:p>
          <w:p w14:paraId="3DB79B42">
            <w:pPr>
              <w:pStyle w:val="7"/>
              <w:spacing w:line="232" w:lineRule="auto"/>
              <w:ind w:left="382"/>
              <w:rPr>
                <w:sz w:val="11"/>
                <w:szCs w:val="11"/>
              </w:rPr>
            </w:pPr>
            <w:r>
              <w:rPr>
                <w:spacing w:val="9"/>
                <w:sz w:val="11"/>
                <w:szCs w:val="11"/>
              </w:rPr>
              <w:t xml:space="preserve">第二十二条 </w:t>
            </w:r>
            <w:r>
              <w:rPr>
                <w:b/>
                <w:bCs/>
                <w:spacing w:val="9"/>
                <w:sz w:val="11"/>
                <w:szCs w:val="11"/>
                <w:u w:val="single" w:color="auto"/>
              </w:rPr>
              <w:t>网络竞价（正向一次）优先权行使：</w:t>
            </w:r>
          </w:p>
          <w:p w14:paraId="092349D5">
            <w:pPr>
              <w:pStyle w:val="7"/>
              <w:spacing w:before="1" w:line="235" w:lineRule="auto"/>
              <w:ind w:left="94" w:right="160" w:firstLine="296"/>
              <w:jc w:val="both"/>
              <w:rPr>
                <w:sz w:val="11"/>
                <w:szCs w:val="11"/>
              </w:rPr>
            </w:pPr>
            <w:r>
              <w:rPr>
                <w:spacing w:val="9"/>
                <w:sz w:val="11"/>
                <w:szCs w:val="11"/>
              </w:rPr>
              <w:t>网络竞价（正向一次）分为报价时间和行使优先权时间（以下简称“行权时间”</w:t>
            </w:r>
            <w:r>
              <w:rPr>
                <w:spacing w:val="-12"/>
                <w:sz w:val="11"/>
                <w:szCs w:val="11"/>
              </w:rPr>
              <w:t xml:space="preserve"> </w:t>
            </w:r>
            <w:r>
              <w:rPr>
                <w:spacing w:val="9"/>
                <w:sz w:val="11"/>
                <w:szCs w:val="11"/>
              </w:rPr>
              <w:t>）两个阶段。报价时间结束后即进入行权时间。在行权时间内，</w:t>
            </w:r>
            <w:r>
              <w:rPr>
                <w:spacing w:val="10"/>
                <w:sz w:val="11"/>
                <w:szCs w:val="11"/>
              </w:rPr>
              <w:t>优先权人可以通过点击“行使优先购买权”或“放弃行使优先购买权”的按钮选择是否行使优先</w:t>
            </w:r>
            <w:r>
              <w:rPr>
                <w:spacing w:val="9"/>
                <w:sz w:val="11"/>
                <w:szCs w:val="11"/>
              </w:rPr>
              <w:t>权。若优先权人选择行使优先权</w:t>
            </w:r>
            <w:r>
              <w:rPr>
                <w:spacing w:val="-14"/>
                <w:sz w:val="11"/>
                <w:szCs w:val="11"/>
              </w:rPr>
              <w:t xml:space="preserve"> </w:t>
            </w:r>
            <w:r>
              <w:rPr>
                <w:spacing w:val="9"/>
                <w:sz w:val="11"/>
                <w:szCs w:val="11"/>
              </w:rPr>
              <w:t>，则由优先权人以非</w:t>
            </w:r>
            <w:r>
              <w:rPr>
                <w:spacing w:val="10"/>
                <w:sz w:val="11"/>
                <w:szCs w:val="11"/>
              </w:rPr>
              <w:t>优先权人的最高报价成为投资人（受让方或承租</w:t>
            </w:r>
            <w:r>
              <w:rPr>
                <w:spacing w:val="9"/>
                <w:sz w:val="11"/>
                <w:szCs w:val="11"/>
              </w:rPr>
              <w:t>方或投资方</w:t>
            </w:r>
            <w:r>
              <w:rPr>
                <w:spacing w:val="-13"/>
                <w:sz w:val="11"/>
                <w:szCs w:val="11"/>
              </w:rPr>
              <w:t xml:space="preserve"> </w:t>
            </w:r>
            <w:r>
              <w:rPr>
                <w:spacing w:val="9"/>
                <w:sz w:val="11"/>
                <w:szCs w:val="11"/>
              </w:rPr>
              <w:t>，下同</w:t>
            </w:r>
            <w:r>
              <w:rPr>
                <w:spacing w:val="-4"/>
                <w:sz w:val="11"/>
                <w:szCs w:val="11"/>
              </w:rPr>
              <w:t>） ；</w:t>
            </w:r>
            <w:r>
              <w:rPr>
                <w:spacing w:val="9"/>
                <w:sz w:val="11"/>
                <w:szCs w:val="11"/>
              </w:rPr>
              <w:t>若优先权人选择放弃行使优先权或未在行权时间内作出选择的</w:t>
            </w:r>
            <w:r>
              <w:rPr>
                <w:spacing w:val="-15"/>
                <w:sz w:val="11"/>
                <w:szCs w:val="11"/>
              </w:rPr>
              <w:t xml:space="preserve"> </w:t>
            </w:r>
            <w:r>
              <w:rPr>
                <w:spacing w:val="9"/>
                <w:sz w:val="11"/>
                <w:szCs w:val="11"/>
              </w:rPr>
              <w:t>，则按照价格优</w:t>
            </w:r>
            <w:r>
              <w:rPr>
                <w:spacing w:val="10"/>
                <w:sz w:val="11"/>
                <w:szCs w:val="11"/>
              </w:rPr>
              <w:t>先、时间优先的原则确定的最高报价的非优</w:t>
            </w:r>
            <w:r>
              <w:rPr>
                <w:spacing w:val="9"/>
                <w:sz w:val="11"/>
                <w:szCs w:val="11"/>
              </w:rPr>
              <w:t>先权人按其报价成为投资人。</w:t>
            </w:r>
          </w:p>
        </w:tc>
      </w:tr>
    </w:tbl>
    <w:p w14:paraId="3317D88E">
      <w:pPr>
        <w:pStyle w:val="2"/>
        <w:spacing w:before="73" w:line="218" w:lineRule="exact"/>
        <w:jc w:val="right"/>
      </w:pPr>
      <w:r>
        <w:pict>
          <v:shape id="_x0000_s1031" o:spid="_x0000_s1031" o:spt="202" type="#_x0000_t202" style="position:absolute;left:0pt;margin-left:90.15pt;margin-top:-2.1pt;height:8pt;width:373.85pt;z-index:-251653120;mso-width-relative:page;mso-height-relative:page;" filled="f" stroked="f" coordsize="21600,21600">
            <v:path/>
            <v:fill on="f" focussize="0,0"/>
            <v:stroke on="f"/>
            <v:imagedata o:title=""/>
            <o:lock v:ext="edit" aspectratio="f"/>
            <v:textbox inset="0mm,0mm,0mm,0mm">
              <w:txbxContent>
                <w:p w14:paraId="7E7AB26C">
                  <w:pPr>
                    <w:spacing w:before="20" w:line="119" w:lineRule="exact"/>
                    <w:rPr>
                      <w:rFonts w:ascii="微软雅黑" w:hAnsi="微软雅黑" w:eastAsia="微软雅黑" w:cs="微软雅黑"/>
                      <w:sz w:val="11"/>
                      <w:szCs w:val="11"/>
                    </w:rPr>
                  </w:pPr>
                </w:p>
              </w:txbxContent>
            </v:textbox>
          </v:shape>
        </w:pict>
      </w:r>
      <w:r>
        <w:rPr>
          <w:spacing w:val="1"/>
          <w:position w:val="3"/>
        </w:rPr>
        <w:t xml:space="preserve">                                 </w:t>
      </w:r>
      <w:r>
        <w:rPr>
          <w:position w:val="3"/>
        </w:rPr>
        <w:t xml:space="preserve">                               </w:t>
      </w:r>
      <w:r>
        <w:rPr>
          <w:spacing w:val="14"/>
          <w:position w:val="3"/>
        </w:rPr>
        <w:t>3/6</w:t>
      </w:r>
    </w:p>
    <w:p w14:paraId="6D468111">
      <w:pPr>
        <w:spacing w:line="218" w:lineRule="exact"/>
        <w:sectPr>
          <w:headerReference r:id="rId7" w:type="default"/>
          <w:pgSz w:w="11900" w:h="16839"/>
          <w:pgMar w:top="515" w:right="475" w:bottom="0" w:left="484" w:header="269" w:footer="0" w:gutter="0"/>
          <w:cols w:space="720" w:num="1"/>
        </w:sectPr>
      </w:pPr>
    </w:p>
    <w:p w14:paraId="37701139">
      <w:pPr>
        <w:spacing w:before="24" w:line="213" w:lineRule="auto"/>
        <w:ind w:left="1535" w:right="1558" w:firstLine="288"/>
        <w:rPr>
          <w:rFonts w:ascii="微软雅黑" w:hAnsi="微软雅黑" w:eastAsia="微软雅黑" w:cs="微软雅黑"/>
          <w:sz w:val="11"/>
          <w:szCs w:val="11"/>
        </w:rPr>
      </w:pPr>
      <w:r>
        <w:rPr>
          <w:rFonts w:ascii="微软雅黑" w:hAnsi="微软雅黑" w:eastAsia="微软雅黑" w:cs="微软雅黑"/>
          <w:spacing w:val="10"/>
          <w:sz w:val="11"/>
          <w:szCs w:val="11"/>
        </w:rPr>
        <w:t>进入行权时间</w:t>
      </w:r>
      <w:r>
        <w:rPr>
          <w:rFonts w:ascii="微软雅黑" w:hAnsi="微软雅黑" w:eastAsia="微软雅黑" w:cs="微软雅黑"/>
          <w:spacing w:val="-15"/>
          <w:sz w:val="11"/>
          <w:szCs w:val="11"/>
        </w:rPr>
        <w:t xml:space="preserve"> </w:t>
      </w:r>
      <w:r>
        <w:rPr>
          <w:rFonts w:ascii="微软雅黑" w:hAnsi="微软雅黑" w:eastAsia="微软雅黑" w:cs="微软雅黑"/>
          <w:spacing w:val="10"/>
          <w:sz w:val="11"/>
          <w:szCs w:val="11"/>
        </w:rPr>
        <w:t>，当优先权人点击了“行使优先权”</w:t>
      </w:r>
      <w:r>
        <w:rPr>
          <w:rFonts w:ascii="微软雅黑" w:hAnsi="微软雅黑" w:eastAsia="微软雅黑" w:cs="微软雅黑"/>
          <w:spacing w:val="9"/>
          <w:sz w:val="11"/>
          <w:szCs w:val="11"/>
        </w:rPr>
        <w:t>或“放弃优先权”的按钮后或行权时间结束后</w:t>
      </w:r>
      <w:r>
        <w:rPr>
          <w:rFonts w:ascii="微软雅黑" w:hAnsi="微软雅黑" w:eastAsia="微软雅黑" w:cs="微软雅黑"/>
          <w:spacing w:val="-14"/>
          <w:sz w:val="11"/>
          <w:szCs w:val="11"/>
        </w:rPr>
        <w:t xml:space="preserve"> </w:t>
      </w:r>
      <w:r>
        <w:rPr>
          <w:rFonts w:ascii="微软雅黑" w:hAnsi="微软雅黑" w:eastAsia="微软雅黑" w:cs="微软雅黑"/>
          <w:spacing w:val="9"/>
          <w:sz w:val="11"/>
          <w:szCs w:val="11"/>
        </w:rPr>
        <w:t>，所有意向投资人均可在“查看报价记录”界面看到标的的所有报价和成交价。</w:t>
      </w:r>
    </w:p>
    <w:p w14:paraId="51E30C4C">
      <w:pPr>
        <w:spacing w:line="241" w:lineRule="auto"/>
        <w:ind w:left="1823"/>
        <w:outlineLvl w:val="1"/>
        <w:rPr>
          <w:rFonts w:ascii="微软雅黑" w:hAnsi="微软雅黑" w:eastAsia="微软雅黑" w:cs="微软雅黑"/>
          <w:sz w:val="11"/>
          <w:szCs w:val="11"/>
        </w:rPr>
      </w:pPr>
      <w:r>
        <w:rPr>
          <w:rFonts w:ascii="微软雅黑" w:hAnsi="微软雅黑" w:eastAsia="微软雅黑" w:cs="微软雅黑"/>
          <w:spacing w:val="9"/>
          <w:sz w:val="11"/>
          <w:szCs w:val="11"/>
        </w:rPr>
        <w:t xml:space="preserve">第二十三条 </w:t>
      </w:r>
      <w:r>
        <w:rPr>
          <w:rFonts w:ascii="微软雅黑" w:hAnsi="微软雅黑" w:eastAsia="微软雅黑" w:cs="微软雅黑"/>
          <w:b/>
          <w:bCs/>
          <w:spacing w:val="9"/>
          <w:sz w:val="11"/>
          <w:szCs w:val="11"/>
        </w:rPr>
        <w:t>网络竞价（正向多次）优先权行使：</w:t>
      </w:r>
    </w:p>
    <w:p w14:paraId="121376B9">
      <w:pPr>
        <w:spacing w:before="13" w:line="236" w:lineRule="auto"/>
        <w:ind w:left="1835"/>
        <w:rPr>
          <w:rFonts w:ascii="宋体" w:hAnsi="宋体" w:eastAsia="宋体" w:cs="宋体"/>
          <w:sz w:val="11"/>
          <w:szCs w:val="11"/>
        </w:rPr>
      </w:pPr>
      <w:r>
        <w:rPr>
          <w:rFonts w:ascii="宋体" w:hAnsi="宋体" w:eastAsia="宋体" w:cs="宋体"/>
          <w:spacing w:val="12"/>
          <w:sz w:val="11"/>
          <w:szCs w:val="11"/>
        </w:rPr>
        <w:t>（一）</w:t>
      </w:r>
      <w:r>
        <w:rPr>
          <w:rFonts w:ascii="宋体" w:hAnsi="宋体" w:eastAsia="宋体" w:cs="宋体"/>
          <w:spacing w:val="-15"/>
          <w:sz w:val="11"/>
          <w:szCs w:val="11"/>
        </w:rPr>
        <w:t xml:space="preserve"> </w:t>
      </w:r>
      <w:r>
        <w:rPr>
          <w:rFonts w:ascii="宋体" w:hAnsi="宋体" w:eastAsia="宋体" w:cs="宋体"/>
          <w:spacing w:val="12"/>
          <w:sz w:val="11"/>
          <w:szCs w:val="11"/>
        </w:rPr>
        <w:t>过程行权方式的优先权行使</w:t>
      </w:r>
    </w:p>
    <w:p w14:paraId="607AC4E0">
      <w:pPr>
        <w:spacing w:before="38" w:line="294" w:lineRule="auto"/>
        <w:ind w:left="1538" w:right="1562" w:firstLine="288"/>
        <w:jc w:val="both"/>
        <w:rPr>
          <w:rFonts w:ascii="宋体" w:hAnsi="宋体" w:eastAsia="宋体" w:cs="宋体"/>
          <w:sz w:val="11"/>
          <w:szCs w:val="11"/>
        </w:rPr>
      </w:pPr>
      <w:r>
        <w:rPr>
          <w:rFonts w:ascii="宋体" w:hAnsi="宋体" w:eastAsia="宋体" w:cs="宋体"/>
          <w:spacing w:val="7"/>
          <w:sz w:val="11"/>
          <w:szCs w:val="11"/>
        </w:rPr>
        <w:t>合格意向投资人报出一个新的价格，享有优先权的意向投资人可以通过报价系统选择跟进、加价或放弃；若非优先权人再行加价，优先权</w:t>
      </w:r>
      <w:r>
        <w:rPr>
          <w:rFonts w:ascii="宋体" w:hAnsi="宋体" w:eastAsia="宋体" w:cs="宋体"/>
          <w:spacing w:val="6"/>
          <w:sz w:val="11"/>
          <w:szCs w:val="11"/>
        </w:rPr>
        <w:t>人可继续</w:t>
      </w:r>
      <w:r>
        <w:rPr>
          <w:rFonts w:ascii="宋体" w:hAnsi="宋体" w:eastAsia="宋体" w:cs="宋体"/>
          <w:spacing w:val="7"/>
          <w:sz w:val="11"/>
          <w:szCs w:val="11"/>
        </w:rPr>
        <w:t>选择跟进、加价或放弃，若优先权人放弃行使优先权的，则报价最高的非优先权人即成为投资人；若优先权人报出最高报价或以最高报价行使优先</w:t>
      </w:r>
      <w:r>
        <w:rPr>
          <w:rFonts w:ascii="宋体" w:hAnsi="宋体" w:eastAsia="宋体" w:cs="宋体"/>
          <w:spacing w:val="6"/>
          <w:sz w:val="11"/>
          <w:szCs w:val="11"/>
        </w:rPr>
        <w:t>权，且非优先权人均放弃加价时，则该优先权人即成为投资人。</w:t>
      </w:r>
    </w:p>
    <w:p w14:paraId="11B8F7AA">
      <w:pPr>
        <w:spacing w:before="1" w:line="241" w:lineRule="auto"/>
        <w:ind w:left="1843"/>
        <w:outlineLvl w:val="2"/>
        <w:rPr>
          <w:rFonts w:ascii="微软雅黑" w:hAnsi="微软雅黑" w:eastAsia="微软雅黑" w:cs="微软雅黑"/>
          <w:sz w:val="11"/>
          <w:szCs w:val="11"/>
        </w:rPr>
      </w:pPr>
      <w:r>
        <w:rPr>
          <w:rFonts w:ascii="微软雅黑" w:hAnsi="微软雅黑" w:eastAsia="微软雅黑" w:cs="微软雅黑"/>
          <w:b/>
          <w:bCs/>
          <w:spacing w:val="8"/>
          <w:sz w:val="11"/>
          <w:szCs w:val="11"/>
        </w:rPr>
        <w:t>（二）结果行权方式的优先权行使</w:t>
      </w:r>
    </w:p>
    <w:p w14:paraId="7EDF2189">
      <w:pPr>
        <w:spacing w:before="14" w:line="196" w:lineRule="auto"/>
        <w:ind w:left="1823"/>
        <w:rPr>
          <w:rFonts w:ascii="微软雅黑" w:hAnsi="微软雅黑" w:eastAsia="微软雅黑" w:cs="微软雅黑"/>
          <w:sz w:val="11"/>
          <w:szCs w:val="11"/>
        </w:rPr>
      </w:pPr>
      <w:r>
        <w:rPr>
          <w:rFonts w:ascii="微软雅黑" w:hAnsi="微软雅黑" w:eastAsia="微软雅黑" w:cs="微软雅黑"/>
          <w:b/>
          <w:bCs/>
          <w:spacing w:val="9"/>
          <w:sz w:val="11"/>
          <w:szCs w:val="11"/>
        </w:rPr>
        <w:t>结果行权竞价流程分为以下三个阶段：</w:t>
      </w:r>
    </w:p>
    <w:p w14:paraId="7F4100B2">
      <w:pPr>
        <w:spacing w:before="1" w:line="229" w:lineRule="auto"/>
        <w:ind w:left="1536" w:right="1569" w:firstLine="298"/>
        <w:rPr>
          <w:rFonts w:ascii="微软雅黑" w:hAnsi="微软雅黑" w:eastAsia="微软雅黑" w:cs="微软雅黑"/>
          <w:sz w:val="11"/>
          <w:szCs w:val="11"/>
        </w:rPr>
      </w:pPr>
      <w:r>
        <w:rPr>
          <w:rFonts w:ascii="微软雅黑" w:hAnsi="微软雅黑" w:eastAsia="微软雅黑" w:cs="微软雅黑"/>
          <w:b/>
          <w:bCs/>
          <w:spacing w:val="10"/>
          <w:sz w:val="11"/>
          <w:szCs w:val="11"/>
        </w:rPr>
        <w:t>1.第一阶段为网络竞价（正向多次）。</w:t>
      </w:r>
      <w:r>
        <w:rPr>
          <w:rFonts w:ascii="微软雅黑" w:hAnsi="微软雅黑" w:eastAsia="微软雅黑" w:cs="微软雅黑"/>
          <w:spacing w:val="10"/>
          <w:sz w:val="11"/>
          <w:szCs w:val="11"/>
        </w:rPr>
        <w:t>由非优先权人按照确定的加价幅度进行多次竞价</w:t>
      </w:r>
      <w:r>
        <w:rPr>
          <w:rFonts w:ascii="微软雅黑" w:hAnsi="微软雅黑" w:eastAsia="微软雅黑" w:cs="微软雅黑"/>
          <w:spacing w:val="9"/>
          <w:sz w:val="11"/>
          <w:szCs w:val="11"/>
        </w:rPr>
        <w:t>。第一阶段竞价分为限时报价期和延时报价期；第一阶段</w:t>
      </w:r>
      <w:r>
        <w:rPr>
          <w:rFonts w:ascii="微软雅黑" w:hAnsi="微软雅黑" w:eastAsia="微软雅黑" w:cs="微软雅黑"/>
          <w:spacing w:val="10"/>
          <w:sz w:val="11"/>
          <w:szCs w:val="11"/>
        </w:rPr>
        <w:t>竞价结束后以第一阶段最高报价人（以下简称“最高报</w:t>
      </w:r>
      <w:r>
        <w:rPr>
          <w:rFonts w:ascii="微软雅黑" w:hAnsi="微软雅黑" w:eastAsia="微软雅黑" w:cs="微软雅黑"/>
          <w:spacing w:val="9"/>
          <w:sz w:val="11"/>
          <w:szCs w:val="11"/>
        </w:rPr>
        <w:t>价人”</w:t>
      </w:r>
      <w:r>
        <w:rPr>
          <w:rFonts w:ascii="微软雅黑" w:hAnsi="微软雅黑" w:eastAsia="微软雅黑" w:cs="微软雅黑"/>
          <w:spacing w:val="-21"/>
          <w:sz w:val="11"/>
          <w:szCs w:val="11"/>
        </w:rPr>
        <w:t xml:space="preserve"> </w:t>
      </w:r>
      <w:r>
        <w:rPr>
          <w:rFonts w:ascii="微软雅黑" w:hAnsi="微软雅黑" w:eastAsia="微软雅黑" w:cs="微软雅黑"/>
          <w:spacing w:val="9"/>
          <w:sz w:val="11"/>
          <w:szCs w:val="11"/>
        </w:rPr>
        <w:t>）的最高报价为第二阶段的竞价底价进入第二阶段；</w:t>
      </w:r>
    </w:p>
    <w:p w14:paraId="6558614E">
      <w:pPr>
        <w:spacing w:before="2" w:line="228" w:lineRule="auto"/>
        <w:ind w:left="1536" w:right="1569" w:firstLine="293"/>
        <w:rPr>
          <w:rFonts w:ascii="微软雅黑" w:hAnsi="微软雅黑" w:eastAsia="微软雅黑" w:cs="微软雅黑"/>
          <w:sz w:val="11"/>
          <w:szCs w:val="11"/>
        </w:rPr>
      </w:pPr>
      <w:r>
        <w:rPr>
          <w:rFonts w:ascii="微软雅黑" w:hAnsi="微软雅黑" w:eastAsia="微软雅黑" w:cs="微软雅黑"/>
          <w:b/>
          <w:bCs/>
          <w:spacing w:val="9"/>
          <w:sz w:val="11"/>
          <w:szCs w:val="11"/>
        </w:rPr>
        <w:t>2.第二阶段为网络竞价（正向一次）。</w:t>
      </w:r>
      <w:r>
        <w:rPr>
          <w:rFonts w:ascii="微软雅黑" w:hAnsi="微软雅黑" w:eastAsia="微软雅黑" w:cs="微软雅黑"/>
          <w:spacing w:val="9"/>
          <w:sz w:val="11"/>
          <w:szCs w:val="11"/>
        </w:rPr>
        <w:t>第一阶段竞价结束后直接进入第二阶段报价</w:t>
      </w:r>
      <w:r>
        <w:rPr>
          <w:rFonts w:ascii="微软雅黑" w:hAnsi="微软雅黑" w:eastAsia="微软雅黑" w:cs="微软雅黑"/>
          <w:spacing w:val="-7"/>
          <w:sz w:val="11"/>
          <w:szCs w:val="11"/>
        </w:rPr>
        <w:t xml:space="preserve"> </w:t>
      </w:r>
      <w:r>
        <w:rPr>
          <w:rFonts w:ascii="微软雅黑" w:hAnsi="微软雅黑" w:eastAsia="微软雅黑" w:cs="微软雅黑"/>
          <w:spacing w:val="9"/>
          <w:sz w:val="11"/>
          <w:szCs w:val="11"/>
        </w:rPr>
        <w:t>，第二阶段以第一阶段的最高报价为起始价</w:t>
      </w:r>
      <w:r>
        <w:rPr>
          <w:rFonts w:ascii="微软雅黑" w:hAnsi="微软雅黑" w:eastAsia="微软雅黑" w:cs="微软雅黑"/>
          <w:spacing w:val="-15"/>
          <w:sz w:val="11"/>
          <w:szCs w:val="11"/>
        </w:rPr>
        <w:t xml:space="preserve"> </w:t>
      </w:r>
      <w:r>
        <w:rPr>
          <w:rFonts w:ascii="微软雅黑" w:hAnsi="微软雅黑" w:eastAsia="微软雅黑" w:cs="微软雅黑"/>
          <w:spacing w:val="9"/>
          <w:sz w:val="11"/>
          <w:szCs w:val="11"/>
        </w:rPr>
        <w:t>，最高报价人可在</w:t>
      </w:r>
      <w:r>
        <w:rPr>
          <w:rFonts w:ascii="微软雅黑" w:hAnsi="微软雅黑" w:eastAsia="微软雅黑" w:cs="微软雅黑"/>
          <w:spacing w:val="10"/>
          <w:sz w:val="11"/>
          <w:szCs w:val="11"/>
        </w:rPr>
        <w:t>规定时间内再报一次更高价格或放弃报价。若最高报价人在规定时间内再报一次更高价格</w:t>
      </w:r>
      <w:r>
        <w:rPr>
          <w:rFonts w:ascii="微软雅黑" w:hAnsi="微软雅黑" w:eastAsia="微软雅黑" w:cs="微软雅黑"/>
          <w:spacing w:val="-15"/>
          <w:sz w:val="11"/>
          <w:szCs w:val="11"/>
        </w:rPr>
        <w:t xml:space="preserve"> </w:t>
      </w:r>
      <w:r>
        <w:rPr>
          <w:rFonts w:ascii="微软雅黑" w:hAnsi="微软雅黑" w:eastAsia="微软雅黑" w:cs="微软雅黑"/>
          <w:spacing w:val="10"/>
          <w:sz w:val="11"/>
          <w:szCs w:val="11"/>
        </w:rPr>
        <w:t>，则该</w:t>
      </w:r>
      <w:r>
        <w:rPr>
          <w:rFonts w:ascii="微软雅黑" w:hAnsi="微软雅黑" w:eastAsia="微软雅黑" w:cs="微软雅黑"/>
          <w:spacing w:val="9"/>
          <w:sz w:val="11"/>
          <w:szCs w:val="11"/>
        </w:rPr>
        <w:t>价格为第二阶段最高报价。若最高报价人未在第二阶段报价限时时间内作出报价则视同最高报价人放弃第二阶段报价。</w:t>
      </w:r>
    </w:p>
    <w:p w14:paraId="593F6144">
      <w:pPr>
        <w:spacing w:before="3" w:line="228" w:lineRule="auto"/>
        <w:ind w:left="1535" w:right="1606" w:firstLine="297"/>
        <w:rPr>
          <w:rFonts w:ascii="微软雅黑" w:hAnsi="微软雅黑" w:eastAsia="微软雅黑" w:cs="微软雅黑"/>
          <w:sz w:val="11"/>
          <w:szCs w:val="11"/>
        </w:rPr>
      </w:pPr>
      <w:r>
        <w:rPr>
          <w:rFonts w:ascii="微软雅黑" w:hAnsi="微软雅黑" w:eastAsia="微软雅黑" w:cs="微软雅黑"/>
          <w:b/>
          <w:bCs/>
          <w:spacing w:val="9"/>
          <w:sz w:val="11"/>
          <w:szCs w:val="11"/>
        </w:rPr>
        <w:t>3.第三阶段为优先权人行使优先权阶段</w:t>
      </w:r>
      <w:r>
        <w:rPr>
          <w:rFonts w:ascii="微软雅黑" w:hAnsi="微软雅黑" w:eastAsia="微软雅黑" w:cs="微软雅黑"/>
          <w:b/>
          <w:bCs/>
          <w:spacing w:val="-11"/>
          <w:sz w:val="11"/>
          <w:szCs w:val="11"/>
        </w:rPr>
        <w:t xml:space="preserve"> </w:t>
      </w:r>
      <w:r>
        <w:rPr>
          <w:rFonts w:ascii="微软雅黑" w:hAnsi="微软雅黑" w:eastAsia="微软雅黑" w:cs="微软雅黑"/>
          <w:b/>
          <w:bCs/>
          <w:spacing w:val="9"/>
          <w:sz w:val="11"/>
          <w:szCs w:val="11"/>
        </w:rPr>
        <w:t>，非优先权人不参与该阶段报价。</w:t>
      </w:r>
      <w:r>
        <w:rPr>
          <w:rFonts w:ascii="微软雅黑" w:hAnsi="微软雅黑" w:eastAsia="微软雅黑" w:cs="微软雅黑"/>
          <w:spacing w:val="9"/>
          <w:sz w:val="11"/>
          <w:szCs w:val="11"/>
        </w:rPr>
        <w:t>第二阶段报价结束后</w:t>
      </w:r>
      <w:r>
        <w:rPr>
          <w:rFonts w:ascii="微软雅黑" w:hAnsi="微软雅黑" w:eastAsia="微软雅黑" w:cs="微软雅黑"/>
          <w:spacing w:val="-15"/>
          <w:sz w:val="11"/>
          <w:szCs w:val="11"/>
        </w:rPr>
        <w:t xml:space="preserve"> </w:t>
      </w:r>
      <w:r>
        <w:rPr>
          <w:rFonts w:ascii="微软雅黑" w:hAnsi="微软雅黑" w:eastAsia="微软雅黑" w:cs="微软雅黑"/>
          <w:spacing w:val="9"/>
          <w:sz w:val="11"/>
          <w:szCs w:val="11"/>
        </w:rPr>
        <w:t>，交易中心设置优先权人行权阶段时限及行权规则</w:t>
      </w:r>
      <w:r>
        <w:rPr>
          <w:rFonts w:ascii="微软雅黑" w:hAnsi="微软雅黑" w:eastAsia="微软雅黑" w:cs="微软雅黑"/>
          <w:spacing w:val="-8"/>
          <w:sz w:val="11"/>
          <w:szCs w:val="11"/>
        </w:rPr>
        <w:t xml:space="preserve"> </w:t>
      </w:r>
      <w:r>
        <w:rPr>
          <w:rFonts w:ascii="微软雅黑" w:hAnsi="微软雅黑" w:eastAsia="微软雅黑" w:cs="微软雅黑"/>
          <w:spacing w:val="9"/>
          <w:sz w:val="11"/>
          <w:szCs w:val="11"/>
        </w:rPr>
        <w:t>，并通过有效方式通知优先权人</w:t>
      </w:r>
      <w:r>
        <w:rPr>
          <w:rFonts w:ascii="微软雅黑" w:hAnsi="微软雅黑" w:eastAsia="微软雅黑" w:cs="微软雅黑"/>
          <w:spacing w:val="-15"/>
          <w:sz w:val="11"/>
          <w:szCs w:val="11"/>
        </w:rPr>
        <w:t xml:space="preserve"> </w:t>
      </w:r>
      <w:r>
        <w:rPr>
          <w:rFonts w:ascii="微软雅黑" w:hAnsi="微软雅黑" w:eastAsia="微软雅黑" w:cs="微软雅黑"/>
          <w:spacing w:val="9"/>
          <w:sz w:val="11"/>
          <w:szCs w:val="11"/>
        </w:rPr>
        <w:t>，由优先权人在规定时间内对第二阶段的最高报价决定是否行权。若优先权人点击“主张优先权”</w:t>
      </w:r>
      <w:r>
        <w:rPr>
          <w:rFonts w:ascii="微软雅黑" w:hAnsi="微软雅黑" w:eastAsia="微软雅黑" w:cs="微软雅黑"/>
          <w:spacing w:val="-14"/>
          <w:sz w:val="11"/>
          <w:szCs w:val="11"/>
        </w:rPr>
        <w:t xml:space="preserve"> </w:t>
      </w:r>
      <w:r>
        <w:rPr>
          <w:rFonts w:ascii="微软雅黑" w:hAnsi="微软雅黑" w:eastAsia="微软雅黑" w:cs="微软雅黑"/>
          <w:spacing w:val="9"/>
          <w:sz w:val="11"/>
          <w:szCs w:val="11"/>
        </w:rPr>
        <w:t>，则由优先权人</w:t>
      </w:r>
      <w:r>
        <w:rPr>
          <w:rFonts w:ascii="微软雅黑" w:hAnsi="微软雅黑" w:eastAsia="微软雅黑" w:cs="微软雅黑"/>
          <w:spacing w:val="10"/>
          <w:sz w:val="11"/>
          <w:szCs w:val="11"/>
        </w:rPr>
        <w:t>以第二阶段最高报价人的报价取得投资人资格；若优先权人选择“放弃优先权”或未在行权时间</w:t>
      </w:r>
      <w:r>
        <w:rPr>
          <w:rFonts w:ascii="微软雅黑" w:hAnsi="微软雅黑" w:eastAsia="微软雅黑" w:cs="微软雅黑"/>
          <w:spacing w:val="9"/>
          <w:sz w:val="11"/>
          <w:szCs w:val="11"/>
        </w:rPr>
        <w:t>内作出选择的</w:t>
      </w:r>
      <w:r>
        <w:rPr>
          <w:rFonts w:ascii="微软雅黑" w:hAnsi="微软雅黑" w:eastAsia="微软雅黑" w:cs="微软雅黑"/>
          <w:spacing w:val="-14"/>
          <w:sz w:val="11"/>
          <w:szCs w:val="11"/>
        </w:rPr>
        <w:t xml:space="preserve"> </w:t>
      </w:r>
      <w:r>
        <w:rPr>
          <w:rFonts w:ascii="微软雅黑" w:hAnsi="微软雅黑" w:eastAsia="微软雅黑" w:cs="微软雅黑"/>
          <w:spacing w:val="9"/>
          <w:sz w:val="11"/>
          <w:szCs w:val="11"/>
        </w:rPr>
        <w:t>，则由最高报价人以第二阶段最高报价（若无第二阶段最高报价则按第一阶段最高报价）取得投资人资格。</w:t>
      </w:r>
    </w:p>
    <w:p w14:paraId="4827F9FC">
      <w:pPr>
        <w:spacing w:before="2" w:line="228" w:lineRule="auto"/>
        <w:ind w:left="1536" w:right="1678" w:firstLine="307"/>
        <w:rPr>
          <w:rFonts w:ascii="微软雅黑" w:hAnsi="微软雅黑" w:eastAsia="微软雅黑" w:cs="微软雅黑"/>
          <w:sz w:val="11"/>
          <w:szCs w:val="11"/>
        </w:rPr>
      </w:pPr>
      <w:r>
        <w:rPr>
          <w:rFonts w:ascii="微软雅黑" w:hAnsi="微软雅黑" w:eastAsia="微软雅黑" w:cs="微软雅黑"/>
          <w:b/>
          <w:bCs/>
          <w:spacing w:val="9"/>
          <w:sz w:val="11"/>
          <w:szCs w:val="11"/>
        </w:rPr>
        <w:t>（注：若第二阶段最高报价人未作出报价</w:t>
      </w:r>
      <w:r>
        <w:rPr>
          <w:rFonts w:ascii="微软雅黑" w:hAnsi="微软雅黑" w:eastAsia="微软雅黑" w:cs="微软雅黑"/>
          <w:b/>
          <w:bCs/>
          <w:spacing w:val="-11"/>
          <w:sz w:val="11"/>
          <w:szCs w:val="11"/>
        </w:rPr>
        <w:t xml:space="preserve"> </w:t>
      </w:r>
      <w:r>
        <w:rPr>
          <w:rFonts w:ascii="微软雅黑" w:hAnsi="微软雅黑" w:eastAsia="微软雅黑" w:cs="微软雅黑"/>
          <w:b/>
          <w:bCs/>
          <w:spacing w:val="9"/>
          <w:sz w:val="11"/>
          <w:szCs w:val="11"/>
        </w:rPr>
        <w:t>，则第三阶段行权价格为第一阶段最高报价；若第一阶段无人出价将跳过第二阶段</w:t>
      </w:r>
      <w:r>
        <w:rPr>
          <w:rFonts w:ascii="微软雅黑" w:hAnsi="微软雅黑" w:eastAsia="微软雅黑" w:cs="微软雅黑"/>
          <w:b/>
          <w:bCs/>
          <w:spacing w:val="-17"/>
          <w:sz w:val="11"/>
          <w:szCs w:val="11"/>
        </w:rPr>
        <w:t xml:space="preserve"> </w:t>
      </w:r>
      <w:r>
        <w:rPr>
          <w:rFonts w:ascii="微软雅黑" w:hAnsi="微软雅黑" w:eastAsia="微软雅黑" w:cs="微软雅黑"/>
          <w:b/>
          <w:bCs/>
          <w:spacing w:val="9"/>
          <w:sz w:val="11"/>
          <w:szCs w:val="11"/>
        </w:rPr>
        <w:t>，准备进入第三阶</w:t>
      </w:r>
      <w:r>
        <w:rPr>
          <w:rFonts w:ascii="微软雅黑" w:hAnsi="微软雅黑" w:eastAsia="微软雅黑" w:cs="微软雅黑"/>
          <w:b/>
          <w:bCs/>
          <w:spacing w:val="8"/>
          <w:sz w:val="11"/>
          <w:szCs w:val="11"/>
        </w:rPr>
        <w:t>段</w:t>
      </w:r>
      <w:r>
        <w:rPr>
          <w:rFonts w:ascii="微软雅黑" w:hAnsi="微软雅黑" w:eastAsia="微软雅黑" w:cs="微软雅黑"/>
          <w:b/>
          <w:bCs/>
          <w:spacing w:val="-4"/>
          <w:sz w:val="11"/>
          <w:szCs w:val="11"/>
        </w:rPr>
        <w:t xml:space="preserve"> </w:t>
      </w:r>
      <w:r>
        <w:rPr>
          <w:rFonts w:ascii="微软雅黑" w:hAnsi="微软雅黑" w:eastAsia="微软雅黑" w:cs="微软雅黑"/>
          <w:b/>
          <w:bCs/>
          <w:spacing w:val="8"/>
          <w:sz w:val="11"/>
          <w:szCs w:val="11"/>
        </w:rPr>
        <w:t>，第三阶段行权价格为项目挂牌价。）</w:t>
      </w:r>
    </w:p>
    <w:p w14:paraId="2ECB407F">
      <w:pPr>
        <w:spacing w:line="241" w:lineRule="auto"/>
        <w:ind w:left="1834"/>
        <w:rPr>
          <w:rFonts w:ascii="宋体" w:hAnsi="宋体" w:eastAsia="宋体" w:cs="宋体"/>
          <w:sz w:val="11"/>
          <w:szCs w:val="11"/>
        </w:rPr>
      </w:pPr>
      <w:r>
        <w:rPr>
          <w:rFonts w:ascii="宋体" w:hAnsi="宋体" w:eastAsia="宋体" w:cs="宋体"/>
          <w:spacing w:val="11"/>
          <w:sz w:val="11"/>
          <w:szCs w:val="11"/>
        </w:rPr>
        <w:t>除</w:t>
      </w:r>
      <w:r>
        <w:rPr>
          <w:rFonts w:ascii="微软雅黑" w:hAnsi="微软雅黑" w:eastAsia="微软雅黑" w:cs="微软雅黑"/>
          <w:b/>
          <w:bCs/>
          <w:spacing w:val="11"/>
          <w:sz w:val="11"/>
          <w:szCs w:val="11"/>
        </w:rPr>
        <w:t>网络竞价（正向一次）</w:t>
      </w:r>
      <w:r>
        <w:rPr>
          <w:rFonts w:ascii="微软雅黑" w:hAnsi="微软雅黑" w:eastAsia="微软雅黑" w:cs="微软雅黑"/>
          <w:b/>
          <w:bCs/>
          <w:spacing w:val="7"/>
          <w:sz w:val="11"/>
          <w:szCs w:val="11"/>
        </w:rPr>
        <w:t xml:space="preserve"> </w:t>
      </w:r>
      <w:r>
        <w:rPr>
          <w:rFonts w:ascii="宋体" w:hAnsi="宋体" w:eastAsia="宋体" w:cs="宋体"/>
          <w:spacing w:val="11"/>
          <w:sz w:val="11"/>
          <w:szCs w:val="11"/>
        </w:rPr>
        <w:t>、</w:t>
      </w:r>
      <w:r>
        <w:rPr>
          <w:rFonts w:ascii="微软雅黑" w:hAnsi="微软雅黑" w:eastAsia="微软雅黑" w:cs="微软雅黑"/>
          <w:b/>
          <w:bCs/>
          <w:spacing w:val="11"/>
          <w:sz w:val="11"/>
          <w:szCs w:val="11"/>
        </w:rPr>
        <w:t>网络竞价（正向多次）</w:t>
      </w:r>
      <w:r>
        <w:rPr>
          <w:rFonts w:ascii="宋体" w:hAnsi="宋体" w:eastAsia="宋体" w:cs="宋体"/>
          <w:spacing w:val="11"/>
          <w:sz w:val="11"/>
          <w:szCs w:val="11"/>
        </w:rPr>
        <w:t>之外的优先权行权方式详见交易公告。</w:t>
      </w:r>
    </w:p>
    <w:p w14:paraId="597DE397">
      <w:pPr>
        <w:spacing w:before="105" w:line="196" w:lineRule="auto"/>
        <w:ind w:left="4962"/>
        <w:outlineLvl w:val="0"/>
        <w:rPr>
          <w:rFonts w:ascii="微软雅黑" w:hAnsi="微软雅黑" w:eastAsia="微软雅黑" w:cs="微软雅黑"/>
          <w:sz w:val="11"/>
          <w:szCs w:val="11"/>
        </w:rPr>
      </w:pPr>
      <w:r>
        <w:rPr>
          <w:rFonts w:ascii="微软雅黑" w:hAnsi="微软雅黑" w:eastAsia="微软雅黑" w:cs="微软雅黑"/>
          <w:b/>
          <w:bCs/>
          <w:spacing w:val="9"/>
          <w:sz w:val="11"/>
          <w:szCs w:val="11"/>
        </w:rPr>
        <w:t>九、关于交易成交的说明</w:t>
      </w:r>
    </w:p>
    <w:p w14:paraId="5CF524A4">
      <w:pPr>
        <w:spacing w:before="116" w:line="195" w:lineRule="auto"/>
        <w:ind w:left="1823"/>
        <w:rPr>
          <w:rFonts w:ascii="微软雅黑" w:hAnsi="微软雅黑" w:eastAsia="微软雅黑" w:cs="微软雅黑"/>
          <w:sz w:val="11"/>
          <w:szCs w:val="11"/>
        </w:rPr>
      </w:pPr>
      <w:r>
        <w:rPr>
          <w:rFonts w:ascii="微软雅黑" w:hAnsi="微软雅黑" w:eastAsia="微软雅黑" w:cs="微软雅黑"/>
          <w:spacing w:val="8"/>
          <w:sz w:val="11"/>
          <w:szCs w:val="11"/>
        </w:rPr>
        <w:t>第二十四条 本须知所称交易成交是指：</w:t>
      </w:r>
    </w:p>
    <w:p w14:paraId="3CD617D4">
      <w:pPr>
        <w:spacing w:before="1" w:line="231" w:lineRule="auto"/>
        <w:ind w:left="1536" w:right="1724" w:firstLine="307"/>
        <w:rPr>
          <w:rFonts w:ascii="微软雅黑" w:hAnsi="微软雅黑" w:eastAsia="微软雅黑" w:cs="微软雅黑"/>
          <w:sz w:val="11"/>
          <w:szCs w:val="11"/>
        </w:rPr>
      </w:pPr>
      <w:r>
        <w:rPr>
          <w:rFonts w:ascii="微软雅黑" w:hAnsi="微软雅黑" w:eastAsia="微软雅黑" w:cs="微软雅黑"/>
          <w:b/>
          <w:bCs/>
          <w:spacing w:val="9"/>
          <w:sz w:val="11"/>
          <w:szCs w:val="11"/>
        </w:rPr>
        <w:t>（一）报名期限届满后</w:t>
      </w:r>
      <w:r>
        <w:rPr>
          <w:rFonts w:ascii="微软雅黑" w:hAnsi="微软雅黑" w:eastAsia="微软雅黑" w:cs="微软雅黑"/>
          <w:b/>
          <w:bCs/>
          <w:spacing w:val="-17"/>
          <w:sz w:val="11"/>
          <w:szCs w:val="11"/>
        </w:rPr>
        <w:t xml:space="preserve"> </w:t>
      </w:r>
      <w:r>
        <w:rPr>
          <w:rFonts w:ascii="微软雅黑" w:hAnsi="微软雅黑" w:eastAsia="微软雅黑" w:cs="微软雅黑"/>
          <w:b/>
          <w:bCs/>
          <w:spacing w:val="9"/>
          <w:sz w:val="11"/>
          <w:szCs w:val="11"/>
        </w:rPr>
        <w:t>，若征集到1家及以上合格意向投资人的</w:t>
      </w:r>
      <w:r>
        <w:rPr>
          <w:rFonts w:ascii="微软雅黑" w:hAnsi="微软雅黑" w:eastAsia="微软雅黑" w:cs="微软雅黑"/>
          <w:b/>
          <w:bCs/>
          <w:spacing w:val="-17"/>
          <w:sz w:val="11"/>
          <w:szCs w:val="11"/>
        </w:rPr>
        <w:t xml:space="preserve"> </w:t>
      </w:r>
      <w:r>
        <w:rPr>
          <w:rFonts w:ascii="微软雅黑" w:hAnsi="微软雅黑" w:eastAsia="微软雅黑" w:cs="微软雅黑"/>
          <w:b/>
          <w:bCs/>
          <w:spacing w:val="9"/>
          <w:sz w:val="11"/>
          <w:szCs w:val="11"/>
        </w:rPr>
        <w:t>，交易中心</w:t>
      </w:r>
      <w:r>
        <w:rPr>
          <w:rFonts w:ascii="微软雅黑" w:hAnsi="微软雅黑" w:eastAsia="微软雅黑" w:cs="微软雅黑"/>
          <w:b/>
          <w:bCs/>
          <w:spacing w:val="8"/>
          <w:sz w:val="11"/>
          <w:szCs w:val="11"/>
        </w:rPr>
        <w:t>按照公告的要求</w:t>
      </w:r>
      <w:r>
        <w:rPr>
          <w:rFonts w:ascii="微软雅黑" w:hAnsi="微软雅黑" w:eastAsia="微软雅黑" w:cs="微软雅黑"/>
          <w:b/>
          <w:bCs/>
          <w:spacing w:val="-17"/>
          <w:sz w:val="11"/>
          <w:szCs w:val="11"/>
        </w:rPr>
        <w:t xml:space="preserve"> </w:t>
      </w:r>
      <w:r>
        <w:rPr>
          <w:rFonts w:ascii="微软雅黑" w:hAnsi="微软雅黑" w:eastAsia="微软雅黑" w:cs="微软雅黑"/>
          <w:b/>
          <w:bCs/>
          <w:spacing w:val="8"/>
          <w:sz w:val="11"/>
          <w:szCs w:val="11"/>
        </w:rPr>
        <w:t>，确定符合签约条件的意向投资人</w:t>
      </w:r>
      <w:r>
        <w:rPr>
          <w:rFonts w:ascii="微软雅黑" w:hAnsi="微软雅黑" w:eastAsia="微软雅黑" w:cs="微软雅黑"/>
          <w:b/>
          <w:bCs/>
          <w:spacing w:val="-17"/>
          <w:sz w:val="11"/>
          <w:szCs w:val="11"/>
        </w:rPr>
        <w:t xml:space="preserve"> </w:t>
      </w:r>
      <w:r>
        <w:rPr>
          <w:rFonts w:ascii="微软雅黑" w:hAnsi="微软雅黑" w:eastAsia="微软雅黑" w:cs="微软雅黑"/>
          <w:b/>
          <w:bCs/>
          <w:spacing w:val="8"/>
          <w:sz w:val="11"/>
          <w:szCs w:val="11"/>
        </w:rPr>
        <w:t>，即视为交易成</w:t>
      </w:r>
      <w:r>
        <w:rPr>
          <w:rFonts w:ascii="微软雅黑" w:hAnsi="微软雅黑" w:eastAsia="微软雅黑" w:cs="微软雅黑"/>
          <w:b/>
          <w:bCs/>
          <w:spacing w:val="4"/>
          <w:sz w:val="11"/>
          <w:szCs w:val="11"/>
        </w:rPr>
        <w:t>交；</w:t>
      </w:r>
    </w:p>
    <w:p w14:paraId="5842DDE1">
      <w:pPr>
        <w:spacing w:line="237" w:lineRule="auto"/>
        <w:ind w:left="1845"/>
        <w:rPr>
          <w:rFonts w:ascii="微软雅黑" w:hAnsi="微软雅黑" w:eastAsia="微软雅黑" w:cs="微软雅黑"/>
          <w:sz w:val="11"/>
          <w:szCs w:val="11"/>
        </w:rPr>
      </w:pPr>
      <w:r>
        <w:rPr>
          <w:rFonts w:ascii="微软雅黑" w:hAnsi="微软雅黑" w:eastAsia="微软雅黑" w:cs="微软雅黑"/>
          <w:spacing w:val="9"/>
          <w:sz w:val="11"/>
          <w:szCs w:val="11"/>
        </w:rPr>
        <w:t>（二）交易中心以及项目公告的交易规则要求的其他应当视为交易成交的情形。</w:t>
      </w:r>
    </w:p>
    <w:p w14:paraId="2FB4AD72">
      <w:pPr>
        <w:spacing w:before="15" w:line="196" w:lineRule="auto"/>
        <w:ind w:left="1823"/>
        <w:rPr>
          <w:rFonts w:ascii="微软雅黑" w:hAnsi="微软雅黑" w:eastAsia="微软雅黑" w:cs="微软雅黑"/>
          <w:sz w:val="11"/>
          <w:szCs w:val="11"/>
        </w:rPr>
      </w:pPr>
      <w:r>
        <w:rPr>
          <w:rFonts w:ascii="微软雅黑" w:hAnsi="微软雅黑" w:eastAsia="微软雅黑" w:cs="微软雅黑"/>
          <w:spacing w:val="9"/>
          <w:sz w:val="11"/>
          <w:szCs w:val="11"/>
        </w:rPr>
        <w:t>第二十五条 本须知的最终解释权归交易中心。</w:t>
      </w:r>
    </w:p>
    <w:p w14:paraId="4C450D04">
      <w:pPr>
        <w:pStyle w:val="2"/>
        <w:spacing w:line="316" w:lineRule="auto"/>
        <w:rPr>
          <w:sz w:val="21"/>
        </w:rPr>
      </w:pPr>
    </w:p>
    <w:p w14:paraId="7AB09ECE">
      <w:pPr>
        <w:spacing w:before="70" w:line="184" w:lineRule="auto"/>
        <w:ind w:left="1519"/>
        <w:outlineLvl w:val="0"/>
        <w:rPr>
          <w:rFonts w:ascii="微软雅黑" w:hAnsi="微软雅黑" w:eastAsia="微软雅黑" w:cs="微软雅黑"/>
          <w:sz w:val="16"/>
          <w:szCs w:val="16"/>
        </w:rPr>
      </w:pPr>
      <w:r>
        <w:rPr>
          <w:rFonts w:ascii="微软雅黑" w:hAnsi="微软雅黑" w:eastAsia="微软雅黑" w:cs="微软雅黑"/>
          <w:b/>
          <w:bCs/>
          <w:spacing w:val="1"/>
          <w:sz w:val="16"/>
          <w:szCs w:val="16"/>
        </w:rPr>
        <w:t>七、风险提示</w:t>
      </w:r>
    </w:p>
    <w:p w14:paraId="1CA0520C">
      <w:pPr>
        <w:spacing w:before="195" w:line="216" w:lineRule="auto"/>
        <w:ind w:left="4828"/>
        <w:outlineLvl w:val="0"/>
        <w:rPr>
          <w:rFonts w:ascii="FangSong_GB2312" w:hAnsi="FangSong_GB2312" w:eastAsia="FangSong_GB2312" w:cs="FangSong_GB2312"/>
          <w:sz w:val="18"/>
          <w:szCs w:val="18"/>
        </w:rPr>
      </w:pPr>
      <w:r>
        <w:rPr>
          <w:rFonts w:ascii="FangSong_GB2312" w:hAnsi="FangSong_GB2312" w:eastAsia="FangSong_GB2312" w:cs="FangSong_GB2312"/>
          <w:b/>
          <w:bCs/>
          <w:spacing w:val="3"/>
          <w:sz w:val="18"/>
          <w:szCs w:val="18"/>
        </w:rPr>
        <w:t>交易风险提示书</w:t>
      </w:r>
    </w:p>
    <w:p w14:paraId="06DA5AA3">
      <w:pPr>
        <w:spacing w:before="227" w:line="303" w:lineRule="auto"/>
        <w:ind w:left="1535" w:right="1606" w:firstLine="256"/>
        <w:rPr>
          <w:rFonts w:ascii="宋体" w:hAnsi="宋体" w:eastAsia="宋体" w:cs="宋体"/>
          <w:sz w:val="11"/>
          <w:szCs w:val="11"/>
        </w:rPr>
      </w:pPr>
      <w:r>
        <w:rPr>
          <w:rFonts w:ascii="宋体" w:hAnsi="宋体" w:eastAsia="宋体" w:cs="宋体"/>
          <w:spacing w:val="16"/>
          <w:sz w:val="11"/>
          <w:szCs w:val="11"/>
        </w:rPr>
        <w:t>特别提示：本交易风险提示书不能取代意向投资人本人的投资判断，也不会降低意向投资</w:t>
      </w:r>
      <w:r>
        <w:rPr>
          <w:rFonts w:ascii="宋体" w:hAnsi="宋体" w:eastAsia="宋体" w:cs="宋体"/>
          <w:spacing w:val="15"/>
          <w:sz w:val="11"/>
          <w:szCs w:val="11"/>
        </w:rPr>
        <w:t>人参与福建省产权交易中心有限公司（以下简称“交易中心</w:t>
      </w:r>
      <w:r>
        <w:rPr>
          <w:rFonts w:ascii="宋体" w:hAnsi="宋体" w:eastAsia="宋体" w:cs="宋体"/>
          <w:spacing w:val="-33"/>
          <w:sz w:val="11"/>
          <w:szCs w:val="11"/>
        </w:rPr>
        <w:t xml:space="preserve"> </w:t>
      </w:r>
      <w:r>
        <w:rPr>
          <w:rFonts w:ascii="宋体" w:hAnsi="宋体" w:eastAsia="宋体" w:cs="宋体"/>
          <w:spacing w:val="15"/>
          <w:sz w:val="11"/>
          <w:szCs w:val="11"/>
        </w:rPr>
        <w:t>”）各项交易活动的所有风险</w:t>
      </w:r>
      <w:r>
        <w:rPr>
          <w:rFonts w:ascii="宋体" w:hAnsi="宋体" w:eastAsia="宋体" w:cs="宋体"/>
          <w:spacing w:val="-33"/>
          <w:sz w:val="11"/>
          <w:szCs w:val="11"/>
        </w:rPr>
        <w:t xml:space="preserve"> </w:t>
      </w:r>
      <w:r>
        <w:rPr>
          <w:rFonts w:ascii="宋体" w:hAnsi="宋体" w:eastAsia="宋体" w:cs="宋体"/>
          <w:spacing w:val="15"/>
          <w:sz w:val="11"/>
          <w:szCs w:val="11"/>
        </w:rPr>
        <w:t>。相应的投</w:t>
      </w:r>
      <w:r>
        <w:rPr>
          <w:rFonts w:ascii="宋体" w:hAnsi="宋体" w:eastAsia="宋体" w:cs="宋体"/>
          <w:spacing w:val="14"/>
          <w:sz w:val="11"/>
          <w:szCs w:val="11"/>
        </w:rPr>
        <w:t>资风险、履约责任以及费用由意向投资人自行承担。</w:t>
      </w:r>
    </w:p>
    <w:p w14:paraId="0B53D730">
      <w:pPr>
        <w:spacing w:before="179" w:line="237" w:lineRule="auto"/>
        <w:ind w:left="1540"/>
        <w:rPr>
          <w:rFonts w:ascii="宋体" w:hAnsi="宋体" w:eastAsia="宋体" w:cs="宋体"/>
          <w:sz w:val="11"/>
          <w:szCs w:val="11"/>
        </w:rPr>
      </w:pPr>
      <w:r>
        <w:rPr>
          <w:rFonts w:ascii="宋体" w:hAnsi="宋体" w:eastAsia="宋体" w:cs="宋体"/>
          <w:spacing w:val="12"/>
          <w:sz w:val="11"/>
          <w:szCs w:val="11"/>
        </w:rPr>
        <w:t>尊敬的意向投资人：</w:t>
      </w:r>
    </w:p>
    <w:p w14:paraId="585486AF">
      <w:pPr>
        <w:spacing w:before="39" w:line="236" w:lineRule="auto"/>
        <w:ind w:left="1793"/>
        <w:rPr>
          <w:rFonts w:ascii="宋体" w:hAnsi="宋体" w:eastAsia="宋体" w:cs="宋体"/>
          <w:sz w:val="11"/>
          <w:szCs w:val="11"/>
        </w:rPr>
      </w:pPr>
      <w:r>
        <w:rPr>
          <w:rFonts w:ascii="宋体" w:hAnsi="宋体" w:eastAsia="宋体" w:cs="宋体"/>
          <w:spacing w:val="13"/>
          <w:sz w:val="11"/>
          <w:szCs w:val="11"/>
        </w:rPr>
        <w:t>您通过交易中心交易平台【指“福建省产权交易中心微信小程序</w:t>
      </w:r>
      <w:r>
        <w:rPr>
          <w:rFonts w:ascii="宋体" w:hAnsi="宋体" w:eastAsia="宋体" w:cs="宋体"/>
          <w:spacing w:val="12"/>
          <w:sz w:val="11"/>
          <w:szCs w:val="11"/>
        </w:rPr>
        <w:t>及</w:t>
      </w:r>
      <w:r>
        <w:rPr>
          <w:rFonts w:ascii="宋体" w:hAnsi="宋体" w:eastAsia="宋体" w:cs="宋体"/>
          <w:b/>
          <w:bCs/>
          <w:spacing w:val="12"/>
          <w:sz w:val="11"/>
          <w:szCs w:val="11"/>
        </w:rPr>
        <w:t>“</w:t>
      </w:r>
      <w:r>
        <w:rPr>
          <w:rFonts w:ascii="宋体" w:hAnsi="宋体" w:eastAsia="宋体" w:cs="宋体"/>
          <w:spacing w:val="12"/>
          <w:sz w:val="11"/>
          <w:szCs w:val="11"/>
        </w:rPr>
        <w:t>福建省产权交易中心交易系统</w:t>
      </w:r>
    </w:p>
    <w:p w14:paraId="7BF714A4">
      <w:pPr>
        <w:spacing w:before="40" w:line="302" w:lineRule="auto"/>
        <w:ind w:left="1539" w:right="1598" w:firstLine="7"/>
        <w:rPr>
          <w:rFonts w:ascii="宋体" w:hAnsi="宋体" w:eastAsia="宋体" w:cs="宋体"/>
          <w:sz w:val="11"/>
          <w:szCs w:val="11"/>
        </w:rPr>
      </w:pPr>
      <w:r>
        <w:rPr>
          <w:rFonts w:ascii="宋体" w:hAnsi="宋体" w:eastAsia="宋体" w:cs="宋体"/>
          <w:spacing w:val="18"/>
          <w:sz w:val="11"/>
          <w:szCs w:val="11"/>
        </w:rPr>
        <w:t>（</w:t>
      </w:r>
      <w:r>
        <w:fldChar w:fldCharType="begin"/>
      </w:r>
      <w:r>
        <w:instrText xml:space="preserve"> HYPERLINK "https://biz.fjcqjy.com/#/login" </w:instrText>
      </w:r>
      <w:r>
        <w:fldChar w:fldCharType="separate"/>
      </w:r>
      <w:r>
        <w:rPr>
          <w:rFonts w:ascii="宋体" w:hAnsi="宋体" w:eastAsia="宋体" w:cs="宋体"/>
          <w:sz w:val="11"/>
          <w:szCs w:val="11"/>
        </w:rPr>
        <w:t>https</w:t>
      </w:r>
      <w:r>
        <w:rPr>
          <w:rFonts w:ascii="宋体" w:hAnsi="宋体" w:eastAsia="宋体" w:cs="宋体"/>
          <w:spacing w:val="-16"/>
          <w:sz w:val="11"/>
          <w:szCs w:val="11"/>
        </w:rPr>
        <w:t xml:space="preserve"> </w:t>
      </w:r>
      <w:r>
        <w:rPr>
          <w:rFonts w:ascii="宋体" w:hAnsi="宋体" w:eastAsia="宋体" w:cs="宋体"/>
          <w:spacing w:val="18"/>
          <w:sz w:val="11"/>
          <w:szCs w:val="11"/>
        </w:rPr>
        <w:t>://</w:t>
      </w:r>
      <w:r>
        <w:rPr>
          <w:rFonts w:ascii="宋体" w:hAnsi="宋体" w:eastAsia="宋体" w:cs="宋体"/>
          <w:sz w:val="11"/>
          <w:szCs w:val="11"/>
        </w:rPr>
        <w:t>biz</w:t>
      </w:r>
      <w:r>
        <w:rPr>
          <w:rFonts w:ascii="宋体" w:hAnsi="宋体" w:eastAsia="宋体" w:cs="宋体"/>
          <w:spacing w:val="18"/>
          <w:sz w:val="11"/>
          <w:szCs w:val="11"/>
        </w:rPr>
        <w:t>.</w:t>
      </w:r>
      <w:r>
        <w:rPr>
          <w:rFonts w:ascii="宋体" w:hAnsi="宋体" w:eastAsia="宋体" w:cs="宋体"/>
          <w:sz w:val="11"/>
          <w:szCs w:val="11"/>
        </w:rPr>
        <w:t>fj</w:t>
      </w:r>
      <w:r>
        <w:rPr>
          <w:rFonts w:ascii="宋体" w:hAnsi="宋体" w:eastAsia="宋体" w:cs="宋体"/>
          <w:spacing w:val="-36"/>
          <w:sz w:val="11"/>
          <w:szCs w:val="11"/>
        </w:rPr>
        <w:t xml:space="preserve"> </w:t>
      </w:r>
      <w:r>
        <w:rPr>
          <w:rFonts w:ascii="宋体" w:hAnsi="宋体" w:eastAsia="宋体" w:cs="宋体"/>
          <w:sz w:val="11"/>
          <w:szCs w:val="11"/>
        </w:rPr>
        <w:t>cq</w:t>
      </w:r>
      <w:r>
        <w:rPr>
          <w:rFonts w:ascii="宋体" w:hAnsi="宋体" w:eastAsia="宋体" w:cs="宋体"/>
          <w:spacing w:val="-33"/>
          <w:sz w:val="11"/>
          <w:szCs w:val="11"/>
        </w:rPr>
        <w:t xml:space="preserve"> </w:t>
      </w:r>
      <w:r>
        <w:rPr>
          <w:rFonts w:ascii="宋体" w:hAnsi="宋体" w:eastAsia="宋体" w:cs="宋体"/>
          <w:sz w:val="11"/>
          <w:szCs w:val="11"/>
        </w:rPr>
        <w:t>jy</w:t>
      </w:r>
      <w:r>
        <w:rPr>
          <w:rFonts w:ascii="宋体" w:hAnsi="宋体" w:eastAsia="宋体" w:cs="宋体"/>
          <w:spacing w:val="18"/>
          <w:sz w:val="11"/>
          <w:szCs w:val="11"/>
        </w:rPr>
        <w:t>.</w:t>
      </w:r>
      <w:r>
        <w:rPr>
          <w:rFonts w:ascii="宋体" w:hAnsi="宋体" w:eastAsia="宋体" w:cs="宋体"/>
          <w:sz w:val="11"/>
          <w:szCs w:val="11"/>
        </w:rPr>
        <w:t>com</w:t>
      </w:r>
      <w:r>
        <w:rPr>
          <w:rFonts w:ascii="宋体" w:hAnsi="宋体" w:eastAsia="宋体" w:cs="宋体"/>
          <w:spacing w:val="18"/>
          <w:sz w:val="11"/>
          <w:szCs w:val="11"/>
        </w:rPr>
        <w:t>/#/</w:t>
      </w:r>
      <w:r>
        <w:rPr>
          <w:rFonts w:ascii="宋体" w:hAnsi="宋体" w:eastAsia="宋体" w:cs="宋体"/>
          <w:spacing w:val="-32"/>
          <w:sz w:val="11"/>
          <w:szCs w:val="11"/>
        </w:rPr>
        <w:t xml:space="preserve"> </w:t>
      </w:r>
      <w:r>
        <w:rPr>
          <w:rFonts w:ascii="宋体" w:hAnsi="宋体" w:eastAsia="宋体" w:cs="宋体"/>
          <w:sz w:val="11"/>
          <w:szCs w:val="11"/>
        </w:rPr>
        <w:t>login</w:t>
      </w:r>
      <w:r>
        <w:rPr>
          <w:rFonts w:ascii="宋体" w:hAnsi="宋体" w:eastAsia="宋体" w:cs="宋体"/>
          <w:sz w:val="11"/>
          <w:szCs w:val="11"/>
        </w:rPr>
        <w:fldChar w:fldCharType="end"/>
      </w:r>
      <w:r>
        <w:rPr>
          <w:rFonts w:ascii="宋体" w:hAnsi="宋体" w:eastAsia="宋体" w:cs="宋体"/>
          <w:spacing w:val="18"/>
          <w:sz w:val="11"/>
          <w:szCs w:val="11"/>
        </w:rPr>
        <w:t>）</w:t>
      </w:r>
      <w:r>
        <w:rPr>
          <w:rFonts w:hint="eastAsia" w:ascii="宋体" w:hAnsi="宋体" w:eastAsia="宋体" w:cs="宋体"/>
          <w:spacing w:val="18"/>
          <w:sz w:val="11"/>
          <w:szCs w:val="11"/>
          <w:lang w:eastAsia="zh-CN"/>
        </w:rPr>
        <w:t>”</w:t>
      </w:r>
      <w:r>
        <w:rPr>
          <w:rFonts w:ascii="宋体" w:hAnsi="宋体" w:eastAsia="宋体" w:cs="宋体"/>
          <w:spacing w:val="18"/>
          <w:sz w:val="11"/>
          <w:szCs w:val="11"/>
        </w:rPr>
        <w:t>，</w:t>
      </w:r>
      <w:r>
        <w:rPr>
          <w:rFonts w:ascii="宋体" w:hAnsi="宋体" w:eastAsia="宋体" w:cs="宋体"/>
          <w:spacing w:val="-30"/>
          <w:sz w:val="11"/>
          <w:szCs w:val="11"/>
        </w:rPr>
        <w:t xml:space="preserve"> </w:t>
      </w:r>
      <w:r>
        <w:rPr>
          <w:rFonts w:ascii="宋体" w:hAnsi="宋体" w:eastAsia="宋体" w:cs="宋体"/>
          <w:spacing w:val="18"/>
          <w:sz w:val="11"/>
          <w:szCs w:val="11"/>
        </w:rPr>
        <w:t>下同】参与交易时，</w:t>
      </w:r>
      <w:r>
        <w:rPr>
          <w:rFonts w:ascii="宋体" w:hAnsi="宋体" w:eastAsia="宋体" w:cs="宋体"/>
          <w:spacing w:val="-28"/>
          <w:sz w:val="11"/>
          <w:szCs w:val="11"/>
        </w:rPr>
        <w:t xml:space="preserve"> </w:t>
      </w:r>
      <w:r>
        <w:rPr>
          <w:rFonts w:ascii="宋体" w:hAnsi="宋体" w:eastAsia="宋体" w:cs="宋体"/>
          <w:spacing w:val="18"/>
          <w:sz w:val="11"/>
          <w:szCs w:val="11"/>
        </w:rPr>
        <w:t>可能会存在因交易、投资带来的收益不确定性风险。本风险提示书旨在让</w:t>
      </w:r>
      <w:r>
        <w:rPr>
          <w:rFonts w:ascii="宋体" w:hAnsi="宋体" w:eastAsia="宋体" w:cs="宋体"/>
          <w:spacing w:val="15"/>
          <w:sz w:val="11"/>
          <w:szCs w:val="11"/>
        </w:rPr>
        <w:t>您更好地了解其中的风险，</w:t>
      </w:r>
      <w:r>
        <w:rPr>
          <w:rFonts w:ascii="宋体" w:hAnsi="宋体" w:eastAsia="宋体" w:cs="宋体"/>
          <w:spacing w:val="-31"/>
          <w:sz w:val="11"/>
          <w:szCs w:val="11"/>
        </w:rPr>
        <w:t xml:space="preserve"> </w:t>
      </w:r>
      <w:r>
        <w:rPr>
          <w:rFonts w:ascii="宋体" w:hAnsi="宋体" w:eastAsia="宋体" w:cs="宋体"/>
          <w:spacing w:val="15"/>
          <w:sz w:val="11"/>
          <w:szCs w:val="11"/>
        </w:rPr>
        <w:t>审慎做出交易决策</w:t>
      </w:r>
      <w:r>
        <w:rPr>
          <w:rFonts w:ascii="宋体" w:hAnsi="宋体" w:eastAsia="宋体" w:cs="宋体"/>
          <w:spacing w:val="-32"/>
          <w:sz w:val="11"/>
          <w:szCs w:val="11"/>
        </w:rPr>
        <w:t xml:space="preserve"> </w:t>
      </w:r>
      <w:r>
        <w:rPr>
          <w:rFonts w:ascii="宋体" w:hAnsi="宋体" w:eastAsia="宋体" w:cs="宋体"/>
          <w:spacing w:val="15"/>
          <w:sz w:val="11"/>
          <w:szCs w:val="11"/>
        </w:rPr>
        <w:t>。您在提交交易申请前，请仔细阅读</w:t>
      </w:r>
      <w:r>
        <w:rPr>
          <w:rFonts w:ascii="宋体" w:hAnsi="宋体" w:eastAsia="宋体" w:cs="宋体"/>
          <w:spacing w:val="14"/>
          <w:sz w:val="11"/>
          <w:szCs w:val="11"/>
        </w:rPr>
        <w:t>并确保自己理解本风险提示书的全部内容，</w:t>
      </w:r>
      <w:r>
        <w:rPr>
          <w:rFonts w:ascii="宋体" w:hAnsi="宋体" w:eastAsia="宋体" w:cs="宋体"/>
          <w:spacing w:val="-27"/>
          <w:sz w:val="11"/>
          <w:szCs w:val="11"/>
        </w:rPr>
        <w:t xml:space="preserve"> </w:t>
      </w:r>
      <w:r>
        <w:rPr>
          <w:rFonts w:ascii="宋体" w:hAnsi="宋体" w:eastAsia="宋体" w:cs="宋体"/>
          <w:spacing w:val="14"/>
          <w:sz w:val="11"/>
          <w:szCs w:val="11"/>
        </w:rPr>
        <w:t>了解交易须知、交易规则、项目公告、</w:t>
      </w:r>
      <w:r>
        <w:rPr>
          <w:rFonts w:ascii="宋体" w:hAnsi="宋体" w:eastAsia="宋体" w:cs="宋体"/>
          <w:spacing w:val="-6"/>
          <w:sz w:val="11"/>
          <w:szCs w:val="11"/>
        </w:rPr>
        <w:t xml:space="preserve"> </w:t>
      </w:r>
      <w:r>
        <w:rPr>
          <w:rFonts w:ascii="宋体" w:hAnsi="宋体" w:eastAsia="宋体" w:cs="宋体"/>
          <w:spacing w:val="14"/>
          <w:sz w:val="11"/>
          <w:szCs w:val="11"/>
        </w:rPr>
        <w:t>申请人承诺等相关文件的规定，并结合自身的投资经验、</w:t>
      </w:r>
      <w:r>
        <w:rPr>
          <w:rFonts w:ascii="宋体" w:hAnsi="宋体" w:eastAsia="宋体" w:cs="宋体"/>
          <w:spacing w:val="-15"/>
          <w:sz w:val="11"/>
          <w:szCs w:val="11"/>
        </w:rPr>
        <w:t xml:space="preserve"> </w:t>
      </w:r>
      <w:r>
        <w:rPr>
          <w:rFonts w:ascii="宋体" w:hAnsi="宋体" w:eastAsia="宋体" w:cs="宋体"/>
          <w:spacing w:val="14"/>
          <w:sz w:val="11"/>
          <w:szCs w:val="11"/>
        </w:rPr>
        <w:t>目标、财务状况、风险承受能力等自行决定是否参与交易</w:t>
      </w:r>
      <w:r>
        <w:rPr>
          <w:rFonts w:ascii="宋体" w:hAnsi="宋体" w:eastAsia="宋体" w:cs="宋体"/>
          <w:spacing w:val="-33"/>
          <w:sz w:val="11"/>
          <w:szCs w:val="11"/>
        </w:rPr>
        <w:t xml:space="preserve"> </w:t>
      </w:r>
      <w:r>
        <w:rPr>
          <w:rFonts w:ascii="宋体" w:hAnsi="宋体" w:eastAsia="宋体" w:cs="宋体"/>
          <w:spacing w:val="14"/>
          <w:sz w:val="11"/>
          <w:szCs w:val="11"/>
        </w:rPr>
        <w:t>。对</w:t>
      </w:r>
      <w:r>
        <w:rPr>
          <w:rFonts w:ascii="宋体" w:hAnsi="宋体" w:eastAsia="宋体" w:cs="宋体"/>
          <w:spacing w:val="15"/>
          <w:sz w:val="11"/>
          <w:szCs w:val="11"/>
        </w:rPr>
        <w:t>本风险提示书有不理解的地方请及时咨询交易中心相关人</w:t>
      </w:r>
      <w:r>
        <w:rPr>
          <w:rFonts w:ascii="宋体" w:hAnsi="宋体" w:eastAsia="宋体" w:cs="宋体"/>
          <w:spacing w:val="14"/>
          <w:sz w:val="11"/>
          <w:szCs w:val="11"/>
        </w:rPr>
        <w:t>员。</w:t>
      </w:r>
    </w:p>
    <w:p w14:paraId="2F157313">
      <w:pPr>
        <w:spacing w:line="236" w:lineRule="auto"/>
        <w:ind w:left="1794"/>
        <w:rPr>
          <w:rFonts w:ascii="宋体" w:hAnsi="宋体" w:eastAsia="宋体" w:cs="宋体"/>
          <w:sz w:val="11"/>
          <w:szCs w:val="11"/>
        </w:rPr>
      </w:pPr>
      <w:r>
        <w:rPr>
          <w:rFonts w:ascii="宋体" w:hAnsi="宋体" w:eastAsia="宋体" w:cs="宋体"/>
          <w:spacing w:val="6"/>
          <w:sz w:val="11"/>
          <w:szCs w:val="11"/>
        </w:rPr>
        <w:t>意向投资人可能面对的风险包括但不限于：</w:t>
      </w:r>
    </w:p>
    <w:p w14:paraId="56027333">
      <w:pPr>
        <w:spacing w:before="39" w:line="236" w:lineRule="auto"/>
        <w:ind w:left="1794"/>
        <w:rPr>
          <w:rFonts w:ascii="宋体" w:hAnsi="宋体" w:eastAsia="宋体" w:cs="宋体"/>
          <w:sz w:val="11"/>
          <w:szCs w:val="11"/>
        </w:rPr>
      </w:pPr>
      <w:r>
        <w:rPr>
          <w:rFonts w:ascii="宋体" w:hAnsi="宋体" w:eastAsia="宋体" w:cs="宋体"/>
          <w:spacing w:val="14"/>
          <w:sz w:val="11"/>
          <w:szCs w:val="11"/>
        </w:rPr>
        <w:t>一、经济和市场风险</w:t>
      </w:r>
    </w:p>
    <w:p w14:paraId="31AD7B52">
      <w:pPr>
        <w:spacing w:before="40" w:line="302" w:lineRule="auto"/>
        <w:ind w:left="1543" w:right="1643" w:firstLine="257"/>
        <w:rPr>
          <w:rFonts w:ascii="宋体" w:hAnsi="宋体" w:eastAsia="宋体" w:cs="宋体"/>
          <w:sz w:val="11"/>
          <w:szCs w:val="11"/>
        </w:rPr>
      </w:pPr>
      <w:r>
        <w:rPr>
          <w:rFonts w:ascii="宋体" w:hAnsi="宋体" w:eastAsia="宋体" w:cs="宋体"/>
          <w:spacing w:val="7"/>
          <w:sz w:val="11"/>
          <w:szCs w:val="11"/>
        </w:rPr>
        <w:t>因经济、市场环境变化或国家法律法规、政策变化，可能导致交易标的价值波动，甚至导致交易中心无法继续为意向投资人提供交易服务，交易中</w:t>
      </w:r>
      <w:r>
        <w:rPr>
          <w:rFonts w:ascii="宋体" w:hAnsi="宋体" w:eastAsia="宋体" w:cs="宋体"/>
          <w:spacing w:val="14"/>
          <w:sz w:val="11"/>
          <w:szCs w:val="11"/>
        </w:rPr>
        <w:t>心不向相关方承担由此产生的损失。</w:t>
      </w:r>
    </w:p>
    <w:p w14:paraId="01DB0E86">
      <w:pPr>
        <w:spacing w:line="236" w:lineRule="auto"/>
        <w:ind w:left="1794"/>
        <w:rPr>
          <w:rFonts w:ascii="宋体" w:hAnsi="宋体" w:eastAsia="宋体" w:cs="宋体"/>
          <w:sz w:val="11"/>
          <w:szCs w:val="11"/>
        </w:rPr>
      </w:pPr>
      <w:r>
        <w:rPr>
          <w:rFonts w:ascii="宋体" w:hAnsi="宋体" w:eastAsia="宋体" w:cs="宋体"/>
          <w:spacing w:val="14"/>
          <w:sz w:val="11"/>
          <w:szCs w:val="11"/>
        </w:rPr>
        <w:t>二、信息披露风险</w:t>
      </w:r>
    </w:p>
    <w:p w14:paraId="4CC9877E">
      <w:pPr>
        <w:spacing w:before="39" w:line="302" w:lineRule="auto"/>
        <w:ind w:left="1539" w:right="1526" w:firstLine="253"/>
        <w:rPr>
          <w:rFonts w:ascii="宋体" w:hAnsi="宋体" w:eastAsia="宋体" w:cs="宋体"/>
          <w:sz w:val="11"/>
          <w:szCs w:val="11"/>
        </w:rPr>
      </w:pPr>
      <w:r>
        <w:rPr>
          <w:rFonts w:ascii="宋体" w:hAnsi="宋体" w:eastAsia="宋体" w:cs="宋体"/>
          <w:spacing w:val="8"/>
          <w:sz w:val="11"/>
          <w:szCs w:val="11"/>
        </w:rPr>
        <w:t>交易中心披露的交易标的相关信息（包括但不限于正式披露公告信息以及交易标的图片、名称、文字描述及其他相关信息等）系交易中心根据委托</w:t>
      </w:r>
      <w:r>
        <w:rPr>
          <w:rFonts w:ascii="宋体" w:hAnsi="宋体" w:eastAsia="宋体" w:cs="宋体"/>
          <w:spacing w:val="16"/>
          <w:sz w:val="11"/>
          <w:szCs w:val="11"/>
        </w:rPr>
        <w:t>方提供的信息内容进行发布，交易中心仅对信息披露的规范性负责，不保证披露交易标的相关信息的真实性、完</w:t>
      </w:r>
      <w:r>
        <w:rPr>
          <w:rFonts w:ascii="宋体" w:hAnsi="宋体" w:eastAsia="宋体" w:cs="宋体"/>
          <w:spacing w:val="15"/>
          <w:sz w:val="11"/>
          <w:szCs w:val="11"/>
        </w:rPr>
        <w:t>整性和准确性，不保证披露交</w:t>
      </w:r>
      <w:r>
        <w:rPr>
          <w:rFonts w:ascii="宋体" w:hAnsi="宋体" w:eastAsia="宋体" w:cs="宋体"/>
          <w:spacing w:val="12"/>
          <w:sz w:val="11"/>
          <w:szCs w:val="11"/>
        </w:rPr>
        <w:t>易标的的名称、</w:t>
      </w:r>
      <w:r>
        <w:rPr>
          <w:rFonts w:ascii="宋体" w:hAnsi="宋体" w:eastAsia="宋体" w:cs="宋体"/>
          <w:spacing w:val="-26"/>
          <w:sz w:val="11"/>
          <w:szCs w:val="11"/>
        </w:rPr>
        <w:t xml:space="preserve"> </w:t>
      </w:r>
      <w:r>
        <w:rPr>
          <w:rFonts w:ascii="宋体" w:hAnsi="宋体" w:eastAsia="宋体" w:cs="宋体"/>
          <w:spacing w:val="12"/>
          <w:sz w:val="11"/>
          <w:szCs w:val="11"/>
        </w:rPr>
        <w:t>图片、描述与交易标的实际相符，交易中心也不对交易标的做任何担保</w:t>
      </w:r>
      <w:r>
        <w:rPr>
          <w:rFonts w:ascii="宋体" w:hAnsi="宋体" w:eastAsia="宋体" w:cs="宋体"/>
          <w:spacing w:val="-33"/>
          <w:sz w:val="11"/>
          <w:szCs w:val="11"/>
        </w:rPr>
        <w:t xml:space="preserve"> </w:t>
      </w:r>
      <w:r>
        <w:rPr>
          <w:rFonts w:ascii="宋体" w:hAnsi="宋体" w:eastAsia="宋体" w:cs="宋体"/>
          <w:spacing w:val="12"/>
          <w:sz w:val="11"/>
          <w:szCs w:val="11"/>
        </w:rPr>
        <w:t>。意</w:t>
      </w:r>
      <w:r>
        <w:rPr>
          <w:rFonts w:ascii="宋体" w:hAnsi="宋体" w:eastAsia="宋体" w:cs="宋体"/>
          <w:spacing w:val="11"/>
          <w:sz w:val="11"/>
          <w:szCs w:val="11"/>
        </w:rPr>
        <w:t>向投资人在决定参与交易活动前，应对交易标的进行充分全面了解。意向投资人应当在提交交易申请前，对交易标的进行尽职调查。意向投资人交纳交易保证金即表明认可交易标的现状（包括但不限于交</w:t>
      </w:r>
      <w:r>
        <w:rPr>
          <w:rFonts w:ascii="宋体" w:hAnsi="宋体" w:eastAsia="宋体" w:cs="宋体"/>
          <w:spacing w:val="15"/>
          <w:sz w:val="11"/>
          <w:szCs w:val="11"/>
        </w:rPr>
        <w:t>易标的的数量、质量、新旧程度、功能、瑕</w:t>
      </w:r>
      <w:r>
        <w:rPr>
          <w:rFonts w:ascii="宋体" w:hAnsi="宋体" w:eastAsia="宋体" w:cs="宋体"/>
          <w:spacing w:val="14"/>
          <w:sz w:val="11"/>
          <w:szCs w:val="11"/>
        </w:rPr>
        <w:t>疵等）</w:t>
      </w:r>
      <w:r>
        <w:rPr>
          <w:rFonts w:ascii="宋体" w:hAnsi="宋体" w:eastAsia="宋体" w:cs="宋体"/>
          <w:spacing w:val="-17"/>
          <w:sz w:val="11"/>
          <w:szCs w:val="11"/>
        </w:rPr>
        <w:t xml:space="preserve"> </w:t>
      </w:r>
      <w:r>
        <w:rPr>
          <w:rFonts w:ascii="宋体" w:hAnsi="宋体" w:eastAsia="宋体" w:cs="宋体"/>
          <w:spacing w:val="14"/>
          <w:sz w:val="11"/>
          <w:szCs w:val="11"/>
        </w:rPr>
        <w:t>。意向投资人应自行承担可能由此产生的损失。</w:t>
      </w:r>
    </w:p>
    <w:p w14:paraId="4F113F3D">
      <w:pPr>
        <w:spacing w:before="1" w:line="236" w:lineRule="auto"/>
        <w:ind w:left="1792"/>
        <w:rPr>
          <w:rFonts w:ascii="宋体" w:hAnsi="宋体" w:eastAsia="宋体" w:cs="宋体"/>
          <w:sz w:val="11"/>
          <w:szCs w:val="11"/>
        </w:rPr>
      </w:pPr>
      <w:r>
        <w:rPr>
          <w:rFonts w:ascii="宋体" w:hAnsi="宋体" w:eastAsia="宋体" w:cs="宋体"/>
          <w:spacing w:val="14"/>
          <w:sz w:val="11"/>
          <w:szCs w:val="11"/>
        </w:rPr>
        <w:t>三、交易风险</w:t>
      </w:r>
    </w:p>
    <w:p w14:paraId="6DC27354">
      <w:pPr>
        <w:spacing w:before="39" w:line="236" w:lineRule="auto"/>
        <w:ind w:left="1795"/>
        <w:rPr>
          <w:rFonts w:ascii="宋体" w:hAnsi="宋体" w:eastAsia="宋体" w:cs="宋体"/>
          <w:sz w:val="11"/>
          <w:szCs w:val="11"/>
        </w:rPr>
      </w:pPr>
      <w:r>
        <w:rPr>
          <w:rFonts w:ascii="宋体" w:hAnsi="宋体" w:eastAsia="宋体" w:cs="宋体"/>
          <w:spacing w:val="15"/>
          <w:sz w:val="11"/>
          <w:szCs w:val="11"/>
        </w:rPr>
        <w:t>意向投资人在交易过程中，可能面对以下风险，意向投资人应自行承担由此产生的损失。</w:t>
      </w:r>
    </w:p>
    <w:p w14:paraId="4E115AF2">
      <w:pPr>
        <w:spacing w:before="39" w:line="302" w:lineRule="auto"/>
        <w:ind w:left="1541" w:right="1525" w:firstLine="259"/>
        <w:rPr>
          <w:rFonts w:ascii="宋体" w:hAnsi="宋体" w:eastAsia="宋体" w:cs="宋体"/>
          <w:sz w:val="11"/>
          <w:szCs w:val="11"/>
        </w:rPr>
      </w:pPr>
      <w:r>
        <w:rPr>
          <w:rFonts w:ascii="宋体" w:hAnsi="宋体" w:eastAsia="宋体" w:cs="宋体"/>
          <w:spacing w:val="9"/>
          <w:sz w:val="11"/>
          <w:szCs w:val="11"/>
        </w:rPr>
        <w:t>1.交易保证金不予退还风险</w:t>
      </w:r>
      <w:r>
        <w:rPr>
          <w:rFonts w:ascii="宋体" w:hAnsi="宋体" w:eastAsia="宋体" w:cs="宋体"/>
          <w:spacing w:val="-32"/>
          <w:sz w:val="11"/>
          <w:szCs w:val="11"/>
        </w:rPr>
        <w:t xml:space="preserve"> </w:t>
      </w:r>
      <w:r>
        <w:rPr>
          <w:rFonts w:ascii="宋体" w:hAnsi="宋体" w:eastAsia="宋体" w:cs="宋体"/>
          <w:spacing w:val="9"/>
          <w:sz w:val="11"/>
          <w:szCs w:val="11"/>
        </w:rPr>
        <w:t>。意向投资人未按照项目公告等规</w:t>
      </w:r>
      <w:r>
        <w:rPr>
          <w:rFonts w:ascii="宋体" w:hAnsi="宋体" w:eastAsia="宋体" w:cs="宋体"/>
          <w:spacing w:val="8"/>
          <w:sz w:val="11"/>
          <w:szCs w:val="11"/>
        </w:rPr>
        <w:t>定参与交易或履行相关义务的，其交纳的交易保证金可能不予退还或产生其他不利后</w:t>
      </w:r>
      <w:r>
        <w:rPr>
          <w:rFonts w:ascii="宋体" w:hAnsi="宋体" w:eastAsia="宋体" w:cs="宋体"/>
          <w:spacing w:val="15"/>
          <w:sz w:val="11"/>
          <w:szCs w:val="11"/>
        </w:rPr>
        <w:t>果。意向投资人在提交交易申请前，请认真阅读项目公告等关于交</w:t>
      </w:r>
      <w:r>
        <w:rPr>
          <w:rFonts w:ascii="宋体" w:hAnsi="宋体" w:eastAsia="宋体" w:cs="宋体"/>
          <w:spacing w:val="14"/>
          <w:sz w:val="11"/>
          <w:szCs w:val="11"/>
        </w:rPr>
        <w:t>易保证金处置的内容。</w:t>
      </w:r>
    </w:p>
    <w:p w14:paraId="08B94938">
      <w:pPr>
        <w:spacing w:before="1" w:line="302" w:lineRule="auto"/>
        <w:ind w:left="1538" w:right="1543" w:firstLine="255"/>
        <w:rPr>
          <w:rFonts w:ascii="宋体" w:hAnsi="宋体" w:eastAsia="宋体" w:cs="宋体"/>
          <w:sz w:val="11"/>
          <w:szCs w:val="11"/>
        </w:rPr>
      </w:pPr>
      <w:r>
        <w:rPr>
          <w:rFonts w:ascii="宋体" w:hAnsi="宋体" w:eastAsia="宋体" w:cs="宋体"/>
          <w:spacing w:val="8"/>
          <w:sz w:val="11"/>
          <w:szCs w:val="11"/>
        </w:rPr>
        <w:t>2.</w:t>
      </w:r>
      <w:r>
        <w:rPr>
          <w:rFonts w:ascii="宋体" w:hAnsi="宋体" w:eastAsia="宋体" w:cs="宋体"/>
          <w:spacing w:val="-27"/>
          <w:sz w:val="11"/>
          <w:szCs w:val="11"/>
        </w:rPr>
        <w:t xml:space="preserve"> </w:t>
      </w:r>
      <w:r>
        <w:rPr>
          <w:rFonts w:ascii="宋体" w:hAnsi="宋体" w:eastAsia="宋体" w:cs="宋体"/>
          <w:spacing w:val="8"/>
          <w:sz w:val="11"/>
          <w:szCs w:val="11"/>
        </w:rPr>
        <w:t>中止、终结交易风险</w:t>
      </w:r>
      <w:r>
        <w:rPr>
          <w:rFonts w:ascii="宋体" w:hAnsi="宋体" w:eastAsia="宋体" w:cs="宋体"/>
          <w:spacing w:val="-33"/>
          <w:sz w:val="11"/>
          <w:szCs w:val="11"/>
        </w:rPr>
        <w:t xml:space="preserve"> </w:t>
      </w:r>
      <w:r>
        <w:rPr>
          <w:rFonts w:ascii="宋体" w:hAnsi="宋体" w:eastAsia="宋体" w:cs="宋体"/>
          <w:spacing w:val="8"/>
          <w:sz w:val="11"/>
          <w:szCs w:val="11"/>
        </w:rPr>
        <w:t>。交易过程中发生包括但不限于交易标的权属纠纷、法院判决、行政行为、交易中心指定的交易中心</w:t>
      </w:r>
      <w:r>
        <w:rPr>
          <w:rFonts w:ascii="宋体" w:hAnsi="宋体" w:eastAsia="宋体" w:cs="宋体"/>
          <w:spacing w:val="7"/>
          <w:sz w:val="11"/>
          <w:szCs w:val="11"/>
        </w:rPr>
        <w:t>平台网络竞价系统软硬</w:t>
      </w:r>
      <w:r>
        <w:rPr>
          <w:rFonts w:ascii="宋体" w:hAnsi="宋体" w:eastAsia="宋体" w:cs="宋体"/>
          <w:spacing w:val="9"/>
          <w:sz w:val="11"/>
          <w:szCs w:val="11"/>
        </w:rPr>
        <w:t>件故障或网络故障、公告期间出现影响交易活动正常进行的情形以及</w:t>
      </w:r>
      <w:r>
        <w:rPr>
          <w:rFonts w:ascii="宋体" w:hAnsi="宋体" w:eastAsia="宋体" w:cs="宋体"/>
          <w:spacing w:val="8"/>
          <w:sz w:val="11"/>
          <w:szCs w:val="11"/>
        </w:rPr>
        <w:t>有关当事人提出中止信息披露书面申请和有关材料后，交易中心可以做出中止或终</w:t>
      </w:r>
      <w:r>
        <w:rPr>
          <w:rFonts w:ascii="宋体" w:hAnsi="宋体" w:eastAsia="宋体" w:cs="宋体"/>
          <w:spacing w:val="15"/>
          <w:sz w:val="11"/>
          <w:szCs w:val="11"/>
        </w:rPr>
        <w:t>结交易的决定，意向投资人自行承担由此给意向投资人带来的风险与损失。</w:t>
      </w:r>
    </w:p>
    <w:p w14:paraId="097C89E1">
      <w:pPr>
        <w:spacing w:line="302" w:lineRule="auto"/>
        <w:ind w:left="1541" w:right="1570" w:firstLine="253"/>
        <w:rPr>
          <w:rFonts w:ascii="宋体" w:hAnsi="宋体" w:eastAsia="宋体" w:cs="宋体"/>
          <w:sz w:val="11"/>
          <w:szCs w:val="11"/>
        </w:rPr>
      </w:pPr>
      <w:r>
        <w:rPr>
          <w:rFonts w:ascii="宋体" w:hAnsi="宋体" w:eastAsia="宋体" w:cs="宋体"/>
          <w:spacing w:val="14"/>
          <w:sz w:val="11"/>
          <w:szCs w:val="11"/>
        </w:rPr>
        <w:t>3.互联网操作风险</w:t>
      </w:r>
      <w:r>
        <w:rPr>
          <w:rFonts w:ascii="宋体" w:hAnsi="宋体" w:eastAsia="宋体" w:cs="宋体"/>
          <w:spacing w:val="-33"/>
          <w:sz w:val="11"/>
          <w:szCs w:val="11"/>
        </w:rPr>
        <w:t xml:space="preserve"> </w:t>
      </w:r>
      <w:r>
        <w:rPr>
          <w:rFonts w:ascii="宋体" w:hAnsi="宋体" w:eastAsia="宋体" w:cs="宋体"/>
          <w:spacing w:val="14"/>
          <w:sz w:val="11"/>
          <w:szCs w:val="11"/>
        </w:rPr>
        <w:t>。通过交易中心平台参与交易，意向投资人可能存在交易</w:t>
      </w:r>
      <w:r>
        <w:rPr>
          <w:rFonts w:ascii="宋体" w:hAnsi="宋体" w:eastAsia="宋体" w:cs="宋体"/>
          <w:spacing w:val="13"/>
          <w:sz w:val="11"/>
          <w:szCs w:val="11"/>
        </w:rPr>
        <w:t>账户信息泄露、身份被仿冒、操作不当、意向投资人终端软硬件</w:t>
      </w:r>
      <w:r>
        <w:rPr>
          <w:rFonts w:ascii="宋体" w:hAnsi="宋体" w:eastAsia="宋体" w:cs="宋体"/>
          <w:spacing w:val="16"/>
          <w:sz w:val="11"/>
          <w:szCs w:val="11"/>
        </w:rPr>
        <w:t>与交易中心指定交易中心平台不兼容、终端设备时间与交易系统时间</w:t>
      </w:r>
      <w:r>
        <w:rPr>
          <w:rFonts w:ascii="宋体" w:hAnsi="宋体" w:eastAsia="宋体" w:cs="宋体"/>
          <w:spacing w:val="15"/>
          <w:sz w:val="11"/>
          <w:szCs w:val="11"/>
        </w:rPr>
        <w:t>不符、终端软硬件或网络故障造成交易失败、失误等互联网操作风险。</w:t>
      </w:r>
    </w:p>
    <w:p w14:paraId="4E437C91">
      <w:pPr>
        <w:spacing w:line="302" w:lineRule="auto"/>
        <w:ind w:left="1545" w:right="1579" w:firstLine="246"/>
        <w:rPr>
          <w:rFonts w:ascii="宋体" w:hAnsi="宋体" w:eastAsia="宋体" w:cs="宋体"/>
          <w:sz w:val="11"/>
          <w:szCs w:val="11"/>
        </w:rPr>
      </w:pPr>
      <w:r>
        <w:rPr>
          <w:rFonts w:ascii="宋体" w:hAnsi="宋体" w:eastAsia="宋体" w:cs="宋体"/>
          <w:spacing w:val="16"/>
          <w:sz w:val="11"/>
          <w:szCs w:val="11"/>
        </w:rPr>
        <w:t>4.优先权行权风险</w:t>
      </w:r>
      <w:r>
        <w:rPr>
          <w:rFonts w:ascii="宋体" w:hAnsi="宋体" w:eastAsia="宋体" w:cs="宋体"/>
          <w:spacing w:val="-33"/>
          <w:sz w:val="11"/>
          <w:szCs w:val="11"/>
        </w:rPr>
        <w:t xml:space="preserve"> </w:t>
      </w:r>
      <w:r>
        <w:rPr>
          <w:rFonts w:ascii="宋体" w:hAnsi="宋体" w:eastAsia="宋体" w:cs="宋体"/>
          <w:spacing w:val="16"/>
          <w:sz w:val="11"/>
          <w:szCs w:val="11"/>
        </w:rPr>
        <w:t>。享有优先权的意向投资人应详细阅读项目公</w:t>
      </w:r>
      <w:r>
        <w:rPr>
          <w:rFonts w:ascii="宋体" w:hAnsi="宋体" w:eastAsia="宋体" w:cs="宋体"/>
          <w:spacing w:val="15"/>
          <w:sz w:val="11"/>
          <w:szCs w:val="11"/>
        </w:rPr>
        <w:t>告关于行使优先权的约定，否则可能会承担行权方式不当引致的责任或风</w:t>
      </w:r>
      <w:r>
        <w:rPr>
          <w:rFonts w:ascii="宋体" w:hAnsi="宋体" w:eastAsia="宋体" w:cs="宋体"/>
          <w:spacing w:val="14"/>
          <w:sz w:val="11"/>
          <w:szCs w:val="11"/>
        </w:rPr>
        <w:t>险</w:t>
      </w:r>
      <w:r>
        <w:rPr>
          <w:rFonts w:ascii="宋体" w:hAnsi="宋体" w:eastAsia="宋体" w:cs="宋体"/>
          <w:spacing w:val="-16"/>
          <w:sz w:val="11"/>
          <w:szCs w:val="11"/>
        </w:rPr>
        <w:t xml:space="preserve"> </w:t>
      </w:r>
      <w:r>
        <w:rPr>
          <w:rFonts w:ascii="宋体" w:hAnsi="宋体" w:eastAsia="宋体" w:cs="宋体"/>
          <w:spacing w:val="14"/>
          <w:sz w:val="11"/>
          <w:szCs w:val="11"/>
        </w:rPr>
        <w:t>。意向投资人存在因享有优先权的意向投资人行权而不能成为最终投资人的风险。</w:t>
      </w:r>
    </w:p>
    <w:p w14:paraId="41114A06">
      <w:pPr>
        <w:spacing w:line="236" w:lineRule="auto"/>
        <w:ind w:left="1803"/>
        <w:rPr>
          <w:rFonts w:ascii="宋体" w:hAnsi="宋体" w:eastAsia="宋体" w:cs="宋体"/>
          <w:sz w:val="11"/>
          <w:szCs w:val="11"/>
        </w:rPr>
      </w:pPr>
      <w:r>
        <w:rPr>
          <w:rFonts w:ascii="宋体" w:hAnsi="宋体" w:eastAsia="宋体" w:cs="宋体"/>
          <w:spacing w:val="12"/>
          <w:sz w:val="11"/>
          <w:szCs w:val="11"/>
        </w:rPr>
        <w:t>四、其他风险</w:t>
      </w:r>
    </w:p>
    <w:p w14:paraId="33C7609E">
      <w:pPr>
        <w:spacing w:before="48" w:line="235" w:lineRule="auto"/>
        <w:ind w:left="1799"/>
        <w:rPr>
          <w:rFonts w:ascii="宋体" w:hAnsi="宋体" w:eastAsia="宋体" w:cs="宋体"/>
          <w:sz w:val="11"/>
          <w:szCs w:val="11"/>
        </w:rPr>
      </w:pPr>
      <w:r>
        <w:rPr>
          <w:rFonts w:ascii="宋体" w:hAnsi="宋体" w:eastAsia="宋体" w:cs="宋体"/>
          <w:spacing w:val="14"/>
          <w:sz w:val="11"/>
          <w:szCs w:val="11"/>
        </w:rPr>
        <w:t>1.宏观经济风险</w:t>
      </w:r>
      <w:r>
        <w:rPr>
          <w:rFonts w:ascii="宋体" w:hAnsi="宋体" w:eastAsia="宋体" w:cs="宋体"/>
          <w:spacing w:val="-23"/>
          <w:sz w:val="11"/>
          <w:szCs w:val="11"/>
        </w:rPr>
        <w:t xml:space="preserve"> </w:t>
      </w:r>
      <w:r>
        <w:rPr>
          <w:rFonts w:ascii="宋体" w:hAnsi="宋体" w:eastAsia="宋体" w:cs="宋体"/>
          <w:spacing w:val="14"/>
          <w:sz w:val="11"/>
          <w:szCs w:val="11"/>
        </w:rPr>
        <w:t>:</w:t>
      </w:r>
      <w:r>
        <w:rPr>
          <w:rFonts w:ascii="宋体" w:hAnsi="宋体" w:eastAsia="宋体" w:cs="宋体"/>
          <w:spacing w:val="-29"/>
          <w:sz w:val="11"/>
          <w:szCs w:val="11"/>
        </w:rPr>
        <w:t xml:space="preserve"> </w:t>
      </w:r>
      <w:r>
        <w:rPr>
          <w:rFonts w:ascii="宋体" w:hAnsi="宋体" w:eastAsia="宋体" w:cs="宋体"/>
          <w:spacing w:val="14"/>
          <w:sz w:val="11"/>
          <w:szCs w:val="11"/>
        </w:rPr>
        <w:t>因宏观经济形势变化，可能引起价格等方面的异常波动，投资人有可能遭受的损失；</w:t>
      </w:r>
    </w:p>
    <w:p w14:paraId="5D4C86F1">
      <w:pPr>
        <w:spacing w:before="40" w:line="302" w:lineRule="auto"/>
        <w:ind w:left="1539" w:right="1634" w:firstLine="252"/>
        <w:rPr>
          <w:rFonts w:ascii="宋体" w:hAnsi="宋体" w:eastAsia="宋体" w:cs="宋体"/>
          <w:sz w:val="11"/>
          <w:szCs w:val="11"/>
        </w:rPr>
      </w:pPr>
      <w:r>
        <w:rPr>
          <w:rFonts w:ascii="宋体" w:hAnsi="宋体" w:eastAsia="宋体" w:cs="宋体"/>
          <w:spacing w:val="16"/>
          <w:sz w:val="11"/>
          <w:szCs w:val="11"/>
        </w:rPr>
        <w:t>2.政策风险</w:t>
      </w:r>
      <w:r>
        <w:rPr>
          <w:rFonts w:ascii="宋体" w:hAnsi="宋体" w:eastAsia="宋体" w:cs="宋体"/>
          <w:spacing w:val="-27"/>
          <w:sz w:val="11"/>
          <w:szCs w:val="11"/>
        </w:rPr>
        <w:t xml:space="preserve"> </w:t>
      </w:r>
      <w:r>
        <w:rPr>
          <w:rFonts w:ascii="宋体" w:hAnsi="宋体" w:eastAsia="宋体" w:cs="宋体"/>
          <w:spacing w:val="16"/>
          <w:sz w:val="11"/>
          <w:szCs w:val="11"/>
        </w:rPr>
        <w:t>:有关法律、法规及相关政策、规则</w:t>
      </w:r>
      <w:r>
        <w:rPr>
          <w:rFonts w:ascii="宋体" w:hAnsi="宋体" w:eastAsia="宋体" w:cs="宋体"/>
          <w:spacing w:val="15"/>
          <w:sz w:val="11"/>
          <w:szCs w:val="11"/>
        </w:rPr>
        <w:t>发生变化，可能引起价格等方面异常波动或导致相关资产、权利等不能变更过户，投资人</w:t>
      </w:r>
      <w:r>
        <w:rPr>
          <w:rFonts w:ascii="宋体" w:hAnsi="宋体" w:eastAsia="宋体" w:cs="宋体"/>
          <w:spacing w:val="12"/>
          <w:sz w:val="11"/>
          <w:szCs w:val="11"/>
        </w:rPr>
        <w:t>有可能遭受的损失；</w:t>
      </w:r>
    </w:p>
    <w:p w14:paraId="62E83820">
      <w:pPr>
        <w:spacing w:line="236" w:lineRule="auto"/>
        <w:ind w:left="1793"/>
        <w:rPr>
          <w:rFonts w:ascii="宋体" w:hAnsi="宋体" w:eastAsia="宋体" w:cs="宋体"/>
          <w:sz w:val="11"/>
          <w:szCs w:val="11"/>
        </w:rPr>
      </w:pPr>
      <w:r>
        <w:rPr>
          <w:rFonts w:ascii="宋体" w:hAnsi="宋体" w:eastAsia="宋体" w:cs="宋体"/>
          <w:spacing w:val="14"/>
          <w:sz w:val="11"/>
          <w:szCs w:val="11"/>
        </w:rPr>
        <w:t>3.利率风险</w:t>
      </w:r>
      <w:r>
        <w:rPr>
          <w:rFonts w:ascii="宋体" w:hAnsi="宋体" w:eastAsia="宋体" w:cs="宋体"/>
          <w:spacing w:val="-15"/>
          <w:sz w:val="11"/>
          <w:szCs w:val="11"/>
        </w:rPr>
        <w:t xml:space="preserve"> </w:t>
      </w:r>
      <w:r>
        <w:rPr>
          <w:rFonts w:ascii="宋体" w:hAnsi="宋体" w:eastAsia="宋体" w:cs="宋体"/>
          <w:spacing w:val="14"/>
          <w:sz w:val="11"/>
          <w:szCs w:val="11"/>
        </w:rPr>
        <w:t>:市场利率变化可能对购买或持有产品的实际收益产生的影响；</w:t>
      </w:r>
    </w:p>
    <w:p w14:paraId="17AD237C">
      <w:pPr>
        <w:spacing w:before="40" w:line="236" w:lineRule="auto"/>
        <w:ind w:left="1790"/>
        <w:rPr>
          <w:rFonts w:ascii="宋体" w:hAnsi="宋体" w:eastAsia="宋体" w:cs="宋体"/>
          <w:sz w:val="11"/>
          <w:szCs w:val="11"/>
        </w:rPr>
      </w:pPr>
      <w:r>
        <w:rPr>
          <w:rFonts w:ascii="宋体" w:hAnsi="宋体" w:eastAsia="宋体" w:cs="宋体"/>
          <w:spacing w:val="14"/>
          <w:sz w:val="11"/>
          <w:szCs w:val="11"/>
        </w:rPr>
        <w:t>4.不可抗力因素导致的风险；</w:t>
      </w:r>
    </w:p>
    <w:p w14:paraId="02AC0812">
      <w:pPr>
        <w:spacing w:before="39" w:line="236" w:lineRule="auto"/>
        <w:ind w:left="1793"/>
        <w:rPr>
          <w:rFonts w:ascii="宋体" w:hAnsi="宋体" w:eastAsia="宋体" w:cs="宋体"/>
          <w:sz w:val="11"/>
          <w:szCs w:val="11"/>
        </w:rPr>
      </w:pPr>
      <w:r>
        <w:rPr>
          <w:rFonts w:ascii="宋体" w:hAnsi="宋体" w:eastAsia="宋体" w:cs="宋体"/>
          <w:spacing w:val="14"/>
          <w:sz w:val="11"/>
          <w:szCs w:val="11"/>
        </w:rPr>
        <w:t>5.违约风险</w:t>
      </w:r>
      <w:r>
        <w:rPr>
          <w:rFonts w:ascii="宋体" w:hAnsi="宋体" w:eastAsia="宋体" w:cs="宋体"/>
          <w:spacing w:val="-9"/>
          <w:sz w:val="11"/>
          <w:szCs w:val="11"/>
        </w:rPr>
        <w:t xml:space="preserve"> </w:t>
      </w:r>
      <w:r>
        <w:rPr>
          <w:rFonts w:ascii="宋体" w:hAnsi="宋体" w:eastAsia="宋体" w:cs="宋体"/>
          <w:spacing w:val="14"/>
          <w:sz w:val="11"/>
          <w:szCs w:val="11"/>
        </w:rPr>
        <w:t>:</w:t>
      </w:r>
      <w:r>
        <w:rPr>
          <w:rFonts w:ascii="宋体" w:hAnsi="宋体" w:eastAsia="宋体" w:cs="宋体"/>
          <w:spacing w:val="-29"/>
          <w:sz w:val="11"/>
          <w:szCs w:val="11"/>
        </w:rPr>
        <w:t xml:space="preserve"> </w:t>
      </w:r>
      <w:r>
        <w:rPr>
          <w:rFonts w:ascii="宋体" w:hAnsi="宋体" w:eastAsia="宋体" w:cs="宋体"/>
          <w:spacing w:val="14"/>
          <w:sz w:val="11"/>
          <w:szCs w:val="11"/>
        </w:rPr>
        <w:t>因包括但不限于委托方或其他交易方无力或无意愿按时足额履约，意向投资人有可能遭受的损失；</w:t>
      </w:r>
    </w:p>
    <w:p w14:paraId="606FFDFC">
      <w:pPr>
        <w:spacing w:before="40" w:line="302" w:lineRule="auto"/>
        <w:ind w:left="1540" w:right="1580" w:firstLine="251"/>
        <w:rPr>
          <w:rFonts w:ascii="宋体" w:hAnsi="宋体" w:eastAsia="宋体" w:cs="宋体"/>
          <w:sz w:val="11"/>
          <w:szCs w:val="11"/>
        </w:rPr>
      </w:pPr>
      <w:r>
        <w:rPr>
          <w:rFonts w:ascii="宋体" w:hAnsi="宋体" w:eastAsia="宋体" w:cs="宋体"/>
          <w:spacing w:val="15"/>
          <w:sz w:val="11"/>
          <w:szCs w:val="11"/>
        </w:rPr>
        <w:t>6.</w:t>
      </w:r>
      <w:r>
        <w:rPr>
          <w:rFonts w:ascii="宋体" w:hAnsi="宋体" w:eastAsia="宋体" w:cs="宋体"/>
          <w:spacing w:val="-29"/>
          <w:sz w:val="11"/>
          <w:szCs w:val="11"/>
        </w:rPr>
        <w:t xml:space="preserve"> </w:t>
      </w:r>
      <w:r>
        <w:rPr>
          <w:rFonts w:ascii="宋体" w:hAnsi="宋体" w:eastAsia="宋体" w:cs="宋体"/>
          <w:spacing w:val="15"/>
          <w:sz w:val="11"/>
          <w:szCs w:val="11"/>
        </w:rPr>
        <w:t>因意向投资人自身的过错导致的任何损失，该过错包括但不限于决策失误、操作不当、盲目竞价（加价）</w:t>
      </w:r>
      <w:r>
        <w:rPr>
          <w:rFonts w:ascii="宋体" w:hAnsi="宋体" w:eastAsia="宋体" w:cs="宋体"/>
          <w:spacing w:val="-20"/>
          <w:sz w:val="11"/>
          <w:szCs w:val="11"/>
        </w:rPr>
        <w:t xml:space="preserve"> </w:t>
      </w:r>
      <w:r>
        <w:rPr>
          <w:rFonts w:ascii="宋体" w:hAnsi="宋体" w:eastAsia="宋体" w:cs="宋体"/>
          <w:spacing w:val="15"/>
          <w:sz w:val="11"/>
          <w:szCs w:val="11"/>
        </w:rPr>
        <w:t>、使</w:t>
      </w:r>
      <w:r>
        <w:rPr>
          <w:rFonts w:ascii="宋体" w:hAnsi="宋体" w:eastAsia="宋体" w:cs="宋体"/>
          <w:spacing w:val="14"/>
          <w:sz w:val="11"/>
          <w:szCs w:val="11"/>
        </w:rPr>
        <w:t>用电子竞价系统时遗忘或</w:t>
      </w:r>
      <w:r>
        <w:rPr>
          <w:rFonts w:ascii="宋体" w:hAnsi="宋体" w:eastAsia="宋体" w:cs="宋体"/>
          <w:spacing w:val="16"/>
          <w:sz w:val="11"/>
          <w:szCs w:val="11"/>
        </w:rPr>
        <w:t>泄露密码或密码被他人破解或使用的计算机系统被第三</w:t>
      </w:r>
      <w:r>
        <w:rPr>
          <w:rFonts w:ascii="宋体" w:hAnsi="宋体" w:eastAsia="宋体" w:cs="宋体"/>
          <w:spacing w:val="15"/>
          <w:sz w:val="11"/>
          <w:szCs w:val="11"/>
        </w:rPr>
        <w:t>方侵入、委托他人代理交易时他人恶意或不当操作而造成的损失等。</w:t>
      </w:r>
    </w:p>
    <w:p w14:paraId="56605210">
      <w:pPr>
        <w:spacing w:line="302" w:lineRule="auto"/>
        <w:ind w:left="1546" w:right="1579" w:firstLine="248"/>
        <w:rPr>
          <w:rFonts w:ascii="宋体" w:hAnsi="宋体" w:eastAsia="宋体" w:cs="宋体"/>
          <w:sz w:val="11"/>
          <w:szCs w:val="11"/>
        </w:rPr>
      </w:pPr>
      <w:r>
        <w:rPr>
          <w:rFonts w:ascii="宋体" w:hAnsi="宋体" w:eastAsia="宋体" w:cs="宋体"/>
          <w:spacing w:val="14"/>
          <w:sz w:val="11"/>
          <w:szCs w:val="11"/>
        </w:rPr>
        <w:t>7.</w:t>
      </w:r>
      <w:r>
        <w:rPr>
          <w:rFonts w:ascii="宋体" w:hAnsi="宋体" w:eastAsia="宋体" w:cs="宋体"/>
          <w:spacing w:val="-14"/>
          <w:sz w:val="11"/>
          <w:szCs w:val="11"/>
        </w:rPr>
        <w:t xml:space="preserve"> </w:t>
      </w:r>
      <w:r>
        <w:rPr>
          <w:rFonts w:ascii="宋体" w:hAnsi="宋体" w:eastAsia="宋体" w:cs="宋体"/>
          <w:spacing w:val="14"/>
          <w:sz w:val="11"/>
          <w:szCs w:val="11"/>
        </w:rPr>
        <w:t>因战争、</w:t>
      </w:r>
      <w:r>
        <w:rPr>
          <w:rFonts w:ascii="宋体" w:hAnsi="宋体" w:eastAsia="宋体" w:cs="宋体"/>
          <w:spacing w:val="-18"/>
          <w:sz w:val="11"/>
          <w:szCs w:val="11"/>
        </w:rPr>
        <w:t xml:space="preserve"> </w:t>
      </w:r>
      <w:r>
        <w:rPr>
          <w:rFonts w:ascii="宋体" w:hAnsi="宋体" w:eastAsia="宋体" w:cs="宋体"/>
          <w:spacing w:val="14"/>
          <w:sz w:val="11"/>
          <w:szCs w:val="11"/>
        </w:rPr>
        <w:t>自然灾害、通讯故障、</w:t>
      </w:r>
      <w:r>
        <w:rPr>
          <w:rFonts w:ascii="宋体" w:hAnsi="宋体" w:eastAsia="宋体" w:cs="宋体"/>
          <w:spacing w:val="-24"/>
          <w:sz w:val="11"/>
          <w:szCs w:val="11"/>
        </w:rPr>
        <w:t xml:space="preserve"> </w:t>
      </w:r>
      <w:r>
        <w:rPr>
          <w:rFonts w:ascii="宋体" w:hAnsi="宋体" w:eastAsia="宋体" w:cs="宋体"/>
          <w:spacing w:val="14"/>
          <w:sz w:val="11"/>
          <w:szCs w:val="11"/>
        </w:rPr>
        <w:t>电力故障、运营服务商网络故障、非法入侵、恶意攻击等原因导致交易标的损毁灭失或交易中心指定交</w:t>
      </w:r>
      <w:r>
        <w:rPr>
          <w:rFonts w:ascii="宋体" w:hAnsi="宋体" w:eastAsia="宋体" w:cs="宋体"/>
          <w:spacing w:val="15"/>
          <w:sz w:val="11"/>
          <w:szCs w:val="11"/>
        </w:rPr>
        <w:t>易中心平台异常甚至瘫痪，导致交易终止的，交易中心不承担任何责任，意向投资人应自行承担由此可能产生的损失。</w:t>
      </w:r>
    </w:p>
    <w:p w14:paraId="523F8AD1">
      <w:pPr>
        <w:spacing w:line="302" w:lineRule="auto"/>
        <w:ind w:left="1550" w:right="1579" w:firstLine="241"/>
        <w:rPr>
          <w:rFonts w:ascii="宋体" w:hAnsi="宋体" w:eastAsia="宋体" w:cs="宋体"/>
          <w:sz w:val="11"/>
          <w:szCs w:val="11"/>
        </w:rPr>
      </w:pPr>
      <w:r>
        <w:rPr>
          <w:rFonts w:ascii="宋体" w:hAnsi="宋体" w:eastAsia="宋体" w:cs="宋体"/>
          <w:spacing w:val="16"/>
          <w:sz w:val="11"/>
          <w:szCs w:val="11"/>
        </w:rPr>
        <w:t>8.交易标的成交后，对交易标的交割过程中发生的包括但不限于包装、运输、交付、税费等一切费用、纷争等，</w:t>
      </w:r>
      <w:r>
        <w:rPr>
          <w:rFonts w:ascii="宋体" w:hAnsi="宋体" w:eastAsia="宋体" w:cs="宋体"/>
          <w:spacing w:val="15"/>
          <w:sz w:val="11"/>
          <w:szCs w:val="11"/>
        </w:rPr>
        <w:t>均由交易双方依据交易合</w:t>
      </w:r>
      <w:r>
        <w:rPr>
          <w:rFonts w:ascii="宋体" w:hAnsi="宋体" w:eastAsia="宋体" w:cs="宋体"/>
          <w:spacing w:val="13"/>
          <w:sz w:val="11"/>
          <w:szCs w:val="11"/>
        </w:rPr>
        <w:t>同、项目公告及相关规定，</w:t>
      </w:r>
      <w:r>
        <w:rPr>
          <w:rFonts w:ascii="宋体" w:hAnsi="宋体" w:eastAsia="宋体" w:cs="宋体"/>
          <w:spacing w:val="1"/>
          <w:sz w:val="11"/>
          <w:szCs w:val="11"/>
        </w:rPr>
        <w:t xml:space="preserve"> </w:t>
      </w:r>
      <w:r>
        <w:rPr>
          <w:rFonts w:ascii="宋体" w:hAnsi="宋体" w:eastAsia="宋体" w:cs="宋体"/>
          <w:spacing w:val="13"/>
          <w:sz w:val="11"/>
          <w:szCs w:val="11"/>
        </w:rPr>
        <w:t>自行承担和处理，交易中心不承担任何责任。</w:t>
      </w:r>
    </w:p>
    <w:p w14:paraId="6261DE3E">
      <w:pPr>
        <w:spacing w:line="302" w:lineRule="auto"/>
        <w:ind w:left="1539" w:right="1579" w:firstLine="253"/>
        <w:rPr>
          <w:rFonts w:ascii="宋体" w:hAnsi="宋体" w:eastAsia="宋体" w:cs="宋体"/>
          <w:sz w:val="11"/>
          <w:szCs w:val="11"/>
        </w:rPr>
      </w:pPr>
      <w:r>
        <w:rPr>
          <w:rFonts w:ascii="宋体" w:hAnsi="宋体" w:eastAsia="宋体" w:cs="宋体"/>
          <w:spacing w:val="15"/>
          <w:sz w:val="11"/>
          <w:szCs w:val="11"/>
        </w:rPr>
        <w:t>9.意向投资人因填写信息不真实、不准确或不完整而造成注册账户无法激活或信息无法接收或交易保证金无法退还等情形的，</w:t>
      </w:r>
      <w:r>
        <w:rPr>
          <w:rFonts w:ascii="宋体" w:hAnsi="宋体" w:eastAsia="宋体" w:cs="宋体"/>
          <w:spacing w:val="-5"/>
          <w:sz w:val="11"/>
          <w:szCs w:val="11"/>
        </w:rPr>
        <w:t xml:space="preserve"> </w:t>
      </w:r>
      <w:r>
        <w:rPr>
          <w:rFonts w:ascii="宋体" w:hAnsi="宋体" w:eastAsia="宋体" w:cs="宋体"/>
          <w:spacing w:val="15"/>
          <w:sz w:val="11"/>
          <w:szCs w:val="11"/>
        </w:rPr>
        <w:t>自行承担相</w:t>
      </w:r>
      <w:r>
        <w:rPr>
          <w:rFonts w:ascii="宋体" w:hAnsi="宋体" w:eastAsia="宋体" w:cs="宋体"/>
          <w:spacing w:val="9"/>
          <w:sz w:val="11"/>
          <w:szCs w:val="11"/>
        </w:rPr>
        <w:t>应后果。</w:t>
      </w:r>
    </w:p>
    <w:p w14:paraId="2EE6631F">
      <w:pPr>
        <w:spacing w:line="302" w:lineRule="auto"/>
        <w:ind w:left="1540" w:right="1598" w:firstLine="258"/>
        <w:jc w:val="both"/>
        <w:rPr>
          <w:rFonts w:ascii="宋体" w:hAnsi="宋体" w:eastAsia="宋体" w:cs="宋体"/>
          <w:sz w:val="11"/>
          <w:szCs w:val="11"/>
        </w:rPr>
      </w:pPr>
      <w:r>
        <w:rPr>
          <w:rFonts w:ascii="宋体" w:hAnsi="宋体" w:eastAsia="宋体" w:cs="宋体"/>
          <w:spacing w:val="15"/>
          <w:sz w:val="11"/>
          <w:szCs w:val="11"/>
        </w:rPr>
        <w:t>当司法机关、行政机关、监察机关、</w:t>
      </w:r>
      <w:r>
        <w:rPr>
          <w:rFonts w:ascii="宋体" w:hAnsi="宋体" w:eastAsia="宋体" w:cs="宋体"/>
          <w:spacing w:val="-26"/>
          <w:sz w:val="11"/>
          <w:szCs w:val="11"/>
        </w:rPr>
        <w:t xml:space="preserve"> </w:t>
      </w:r>
      <w:r>
        <w:rPr>
          <w:rFonts w:ascii="宋体" w:hAnsi="宋体" w:eastAsia="宋体" w:cs="宋体"/>
          <w:spacing w:val="15"/>
          <w:sz w:val="11"/>
          <w:szCs w:val="11"/>
        </w:rPr>
        <w:t>国家安全部门、</w:t>
      </w:r>
      <w:r>
        <w:rPr>
          <w:rFonts w:ascii="宋体" w:hAnsi="宋体" w:eastAsia="宋体" w:cs="宋体"/>
          <w:spacing w:val="-27"/>
          <w:sz w:val="11"/>
          <w:szCs w:val="11"/>
        </w:rPr>
        <w:t xml:space="preserve"> </w:t>
      </w:r>
      <w:r>
        <w:rPr>
          <w:rFonts w:ascii="宋体" w:hAnsi="宋体" w:eastAsia="宋体" w:cs="宋体"/>
          <w:spacing w:val="15"/>
          <w:sz w:val="11"/>
          <w:szCs w:val="11"/>
        </w:rPr>
        <w:t>中国共产党纪律检查委员会等任何中国共产党</w:t>
      </w:r>
      <w:r>
        <w:rPr>
          <w:rFonts w:ascii="宋体" w:hAnsi="宋体" w:eastAsia="宋体" w:cs="宋体"/>
          <w:spacing w:val="14"/>
          <w:sz w:val="11"/>
          <w:szCs w:val="11"/>
        </w:rPr>
        <w:t>和国家有关机关、部门对意向投资人在</w:t>
      </w:r>
      <w:r>
        <w:rPr>
          <w:rFonts w:ascii="宋体" w:hAnsi="宋体" w:eastAsia="宋体" w:cs="宋体"/>
          <w:spacing w:val="16"/>
          <w:sz w:val="11"/>
          <w:szCs w:val="11"/>
        </w:rPr>
        <w:t>网络竞价平台上开设账户及相关信息、所发布的信息以及意向投资人留存于交易中心账户的包括但不限于交易</w:t>
      </w:r>
      <w:r>
        <w:rPr>
          <w:rFonts w:ascii="宋体" w:hAnsi="宋体" w:eastAsia="宋体" w:cs="宋体"/>
          <w:spacing w:val="15"/>
          <w:sz w:val="11"/>
          <w:szCs w:val="11"/>
        </w:rPr>
        <w:t>保证金、交易价款等相关财产采</w:t>
      </w:r>
      <w:r>
        <w:rPr>
          <w:rFonts w:ascii="宋体" w:hAnsi="宋体" w:eastAsia="宋体" w:cs="宋体"/>
          <w:spacing w:val="16"/>
          <w:sz w:val="11"/>
          <w:szCs w:val="11"/>
        </w:rPr>
        <w:t>取包括但不限于查封、冻结、提取、扣划、</w:t>
      </w:r>
      <w:r>
        <w:rPr>
          <w:rFonts w:ascii="宋体" w:hAnsi="宋体" w:eastAsia="宋体" w:cs="宋体"/>
          <w:spacing w:val="-33"/>
          <w:sz w:val="11"/>
          <w:szCs w:val="11"/>
        </w:rPr>
        <w:t xml:space="preserve"> </w:t>
      </w:r>
      <w:r>
        <w:rPr>
          <w:rFonts w:ascii="宋体" w:hAnsi="宋体" w:eastAsia="宋体" w:cs="宋体"/>
          <w:spacing w:val="16"/>
          <w:sz w:val="11"/>
          <w:szCs w:val="11"/>
        </w:rPr>
        <w:t>罚没等措施时，</w:t>
      </w:r>
      <w:r>
        <w:rPr>
          <w:rFonts w:ascii="宋体" w:hAnsi="宋体" w:eastAsia="宋体" w:cs="宋体"/>
          <w:spacing w:val="15"/>
          <w:sz w:val="11"/>
          <w:szCs w:val="11"/>
        </w:rPr>
        <w:t>意向投资人理解并同意交易中心有义务根据法律、法规等相关规定配合协助上述机关、部门采取相应的措施，</w:t>
      </w:r>
      <w:r>
        <w:rPr>
          <w:rFonts w:ascii="宋体" w:hAnsi="宋体" w:eastAsia="宋体" w:cs="宋体"/>
          <w:spacing w:val="-23"/>
          <w:sz w:val="11"/>
          <w:szCs w:val="11"/>
        </w:rPr>
        <w:t xml:space="preserve"> </w:t>
      </w:r>
      <w:r>
        <w:rPr>
          <w:rFonts w:ascii="宋体" w:hAnsi="宋体" w:eastAsia="宋体" w:cs="宋体"/>
          <w:spacing w:val="15"/>
          <w:sz w:val="11"/>
          <w:szCs w:val="11"/>
        </w:rPr>
        <w:t>由此给意向投资人造成的损失由意向投资人自行承担，且意向投资人同意不就此向交易中心主张任何</w:t>
      </w:r>
      <w:r>
        <w:rPr>
          <w:rFonts w:ascii="宋体" w:hAnsi="宋体" w:eastAsia="宋体" w:cs="宋体"/>
          <w:spacing w:val="14"/>
          <w:sz w:val="11"/>
          <w:szCs w:val="11"/>
        </w:rPr>
        <w:t>权利。</w:t>
      </w:r>
    </w:p>
    <w:p w14:paraId="0A7C2845">
      <w:pPr>
        <w:spacing w:before="1" w:line="302" w:lineRule="auto"/>
        <w:ind w:left="1538" w:right="1526" w:firstLine="253"/>
        <w:rPr>
          <w:rFonts w:ascii="宋体" w:hAnsi="宋体" w:eastAsia="宋体" w:cs="宋体"/>
          <w:sz w:val="11"/>
          <w:szCs w:val="11"/>
        </w:rPr>
      </w:pPr>
      <w:r>
        <w:rPr>
          <w:rFonts w:ascii="宋体" w:hAnsi="宋体" w:eastAsia="宋体" w:cs="宋体"/>
          <w:spacing w:val="16"/>
          <w:sz w:val="11"/>
          <w:szCs w:val="11"/>
        </w:rPr>
        <w:t>鉴于交易中心在本项目相关公告中提供的信息与本项目项下标的物存在客观分离的状态，所以除交易中心</w:t>
      </w:r>
      <w:r>
        <w:rPr>
          <w:rFonts w:ascii="宋体" w:hAnsi="宋体" w:eastAsia="宋体" w:cs="宋体"/>
          <w:spacing w:val="15"/>
          <w:sz w:val="11"/>
          <w:szCs w:val="11"/>
        </w:rPr>
        <w:t>明示的特定情形外，交易中心不</w:t>
      </w:r>
      <w:r>
        <w:rPr>
          <w:rFonts w:ascii="宋体" w:hAnsi="宋体" w:eastAsia="宋体" w:cs="宋体"/>
          <w:spacing w:val="16"/>
          <w:sz w:val="11"/>
          <w:szCs w:val="11"/>
        </w:rPr>
        <w:t>对本项目交易所涉任何主体（包括但不限于委托方、意向投</w:t>
      </w:r>
      <w:r>
        <w:rPr>
          <w:rFonts w:ascii="宋体" w:hAnsi="宋体" w:eastAsia="宋体" w:cs="宋体"/>
          <w:spacing w:val="15"/>
          <w:sz w:val="11"/>
          <w:szCs w:val="11"/>
        </w:rPr>
        <w:t>资人及其他第三方等）</w:t>
      </w:r>
      <w:r>
        <w:rPr>
          <w:rFonts w:ascii="宋体" w:hAnsi="宋体" w:eastAsia="宋体" w:cs="宋体"/>
          <w:spacing w:val="-29"/>
          <w:sz w:val="11"/>
          <w:szCs w:val="11"/>
        </w:rPr>
        <w:t xml:space="preserve"> </w:t>
      </w:r>
      <w:r>
        <w:rPr>
          <w:rFonts w:ascii="宋体" w:hAnsi="宋体" w:eastAsia="宋体" w:cs="宋体"/>
          <w:spacing w:val="15"/>
          <w:sz w:val="11"/>
          <w:szCs w:val="11"/>
        </w:rPr>
        <w:t>/或任何交易、交易能否产生收益以及收益的大小提供任何担</w:t>
      </w:r>
      <w:r>
        <w:rPr>
          <w:rFonts w:ascii="宋体" w:hAnsi="宋体" w:eastAsia="宋体" w:cs="宋体"/>
          <w:spacing w:val="16"/>
          <w:sz w:val="11"/>
          <w:szCs w:val="11"/>
        </w:rPr>
        <w:t>保或条件，无论是明示、默示或法定的</w:t>
      </w:r>
      <w:r>
        <w:rPr>
          <w:rFonts w:ascii="宋体" w:hAnsi="宋体" w:eastAsia="宋体" w:cs="宋体"/>
          <w:spacing w:val="-33"/>
          <w:sz w:val="11"/>
          <w:szCs w:val="11"/>
        </w:rPr>
        <w:t xml:space="preserve"> </w:t>
      </w:r>
      <w:r>
        <w:rPr>
          <w:rFonts w:ascii="宋体" w:hAnsi="宋体" w:eastAsia="宋体" w:cs="宋体"/>
          <w:spacing w:val="16"/>
          <w:sz w:val="11"/>
          <w:szCs w:val="11"/>
        </w:rPr>
        <w:t>。交易中心不能完全保证</w:t>
      </w:r>
      <w:r>
        <w:rPr>
          <w:rFonts w:ascii="宋体" w:hAnsi="宋体" w:eastAsia="宋体" w:cs="宋体"/>
          <w:spacing w:val="15"/>
          <w:sz w:val="11"/>
          <w:szCs w:val="11"/>
        </w:rPr>
        <w:t>交易中心内容的真实性、充分性、可靠性、准确性、完整性和有效性，也不承担任何由此引起的法律责任，对此，意向投资人必须谨慎判断。</w:t>
      </w:r>
    </w:p>
    <w:p w14:paraId="3356B845">
      <w:pPr>
        <w:pStyle w:val="2"/>
        <w:spacing w:before="5" w:line="218" w:lineRule="exact"/>
        <w:jc w:val="right"/>
      </w:pPr>
      <w:r>
        <w:rPr>
          <w:spacing w:val="1"/>
          <w:position w:val="3"/>
        </w:rPr>
        <w:t xml:space="preserve">                           </w:t>
      </w:r>
      <w:r>
        <w:rPr>
          <w:position w:val="3"/>
        </w:rPr>
        <w:t xml:space="preserve">                                   </w:t>
      </w:r>
      <w:r>
        <w:rPr>
          <w:spacing w:val="14"/>
          <w:position w:val="3"/>
        </w:rPr>
        <w:t>4/6</w:t>
      </w:r>
    </w:p>
    <w:p w14:paraId="1423F929">
      <w:pPr>
        <w:spacing w:line="218" w:lineRule="exact"/>
        <w:sectPr>
          <w:headerReference r:id="rId8" w:type="default"/>
          <w:pgSz w:w="11900" w:h="16839"/>
          <w:pgMar w:top="515" w:right="475" w:bottom="0" w:left="484" w:header="269" w:footer="0" w:gutter="0"/>
          <w:cols w:space="720" w:num="1"/>
        </w:sectPr>
      </w:pPr>
    </w:p>
    <w:p w14:paraId="7E5B7040">
      <w:pPr>
        <w:spacing w:line="54" w:lineRule="exact"/>
      </w:pPr>
    </w:p>
    <w:tbl>
      <w:tblPr>
        <w:tblStyle w:val="6"/>
        <w:tblW w:w="8077" w:type="dxa"/>
        <w:tblInd w:w="1437" w:type="dxa"/>
        <w:tblBorders>
          <w:top w:val="none" w:color="auto" w:sz="0" w:space="0"/>
          <w:left w:val="single" w:color="DDDDDD" w:sz="2" w:space="0"/>
          <w:bottom w:val="single" w:color="DDDDDD" w:sz="2" w:space="0"/>
          <w:right w:val="single" w:color="DDDDDD" w:sz="2" w:space="0"/>
          <w:insideH w:val="none" w:color="auto" w:sz="0" w:space="0"/>
          <w:insideV w:val="none" w:color="auto" w:sz="0" w:space="0"/>
        </w:tblBorders>
        <w:tblLayout w:type="fixed"/>
        <w:tblCellMar>
          <w:top w:w="0" w:type="dxa"/>
          <w:left w:w="0" w:type="dxa"/>
          <w:bottom w:w="0" w:type="dxa"/>
          <w:right w:w="0" w:type="dxa"/>
        </w:tblCellMar>
      </w:tblPr>
      <w:tblGrid>
        <w:gridCol w:w="8077"/>
      </w:tblGrid>
      <w:tr w14:paraId="3350D100">
        <w:tblPrEx>
          <w:tblBorders>
            <w:top w:val="none" w:color="auto" w:sz="0" w:space="0"/>
            <w:left w:val="single" w:color="DDDDDD" w:sz="2" w:space="0"/>
            <w:bottom w:val="single" w:color="DDDDDD" w:sz="2" w:space="0"/>
            <w:right w:val="single" w:color="DDDDDD" w:sz="2" w:space="0"/>
            <w:insideH w:val="none" w:color="auto" w:sz="0" w:space="0"/>
            <w:insideV w:val="none" w:color="auto" w:sz="0" w:space="0"/>
          </w:tblBorders>
          <w:tblCellMar>
            <w:top w:w="0" w:type="dxa"/>
            <w:left w:w="0" w:type="dxa"/>
            <w:bottom w:w="0" w:type="dxa"/>
            <w:right w:w="0" w:type="dxa"/>
          </w:tblCellMar>
        </w:tblPrEx>
        <w:trPr>
          <w:trHeight w:val="1020" w:hRule="atLeast"/>
        </w:trPr>
        <w:tc>
          <w:tcPr>
            <w:tcW w:w="8077" w:type="dxa"/>
            <w:vAlign w:val="top"/>
          </w:tcPr>
          <w:p w14:paraId="23B4B29C">
            <w:pPr>
              <w:spacing w:before="59" w:line="302" w:lineRule="auto"/>
              <w:ind w:left="98" w:right="165" w:firstLine="265"/>
              <w:rPr>
                <w:rFonts w:ascii="宋体" w:hAnsi="宋体" w:eastAsia="宋体" w:cs="宋体"/>
                <w:sz w:val="11"/>
                <w:szCs w:val="11"/>
              </w:rPr>
            </w:pPr>
            <w:r>
              <w:drawing>
                <wp:anchor distT="0" distB="0" distL="0" distR="0" simplePos="0" relativeHeight="251664384" behindDoc="0" locked="0" layoutInCell="1" allowOverlap="1">
                  <wp:simplePos x="0" y="0"/>
                  <wp:positionH relativeFrom="rightMargin">
                    <wp:posOffset>-5068570</wp:posOffset>
                  </wp:positionH>
                  <wp:positionV relativeFrom="topMargin">
                    <wp:posOffset>-1270</wp:posOffset>
                  </wp:positionV>
                  <wp:extent cx="2245995" cy="63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5"/>
                          <a:stretch>
                            <a:fillRect/>
                          </a:stretch>
                        </pic:blipFill>
                        <pic:spPr>
                          <a:xfrm>
                            <a:off x="0" y="0"/>
                            <a:ext cx="2245995" cy="6350"/>
                          </a:xfrm>
                          <a:prstGeom prst="rect">
                            <a:avLst/>
                          </a:prstGeom>
                        </pic:spPr>
                      </pic:pic>
                    </a:graphicData>
                  </a:graphic>
                </wp:anchor>
              </w:drawing>
            </w:r>
            <w:r>
              <w:rPr>
                <w:rFonts w:ascii="宋体" w:hAnsi="宋体" w:eastAsia="宋体" w:cs="宋体"/>
                <w:spacing w:val="15"/>
                <w:sz w:val="11"/>
                <w:szCs w:val="11"/>
                <w:u w:val="single" w:color="auto"/>
              </w:rPr>
              <w:t>以上并不能揭示意向投资人通过交易中心进行交易的全部风险及市场的全部情形</w:t>
            </w:r>
            <w:r>
              <w:rPr>
                <w:rFonts w:ascii="宋体" w:hAnsi="宋体" w:eastAsia="宋体" w:cs="宋体"/>
                <w:spacing w:val="-15"/>
                <w:sz w:val="11"/>
                <w:szCs w:val="11"/>
                <w:u w:val="single" w:color="auto"/>
              </w:rPr>
              <w:t xml:space="preserve"> </w:t>
            </w:r>
            <w:r>
              <w:rPr>
                <w:rFonts w:ascii="宋体" w:hAnsi="宋体" w:eastAsia="宋体" w:cs="宋体"/>
                <w:spacing w:val="15"/>
                <w:sz w:val="11"/>
                <w:szCs w:val="11"/>
                <w:u w:val="single" w:color="auto"/>
              </w:rPr>
              <w:t>。意向投资人在作出交易决策前，应全面了解相关交易，根据自身的交易目标、风险承受能力和资产状况等谨慎决策，并自行承担全部风险</w:t>
            </w:r>
            <w:r>
              <w:rPr>
                <w:rFonts w:ascii="宋体" w:hAnsi="宋体" w:eastAsia="宋体" w:cs="宋体"/>
                <w:spacing w:val="-24"/>
                <w:sz w:val="11"/>
                <w:szCs w:val="11"/>
                <w:u w:val="single" w:color="auto"/>
              </w:rPr>
              <w:t xml:space="preserve"> </w:t>
            </w:r>
            <w:r>
              <w:rPr>
                <w:rFonts w:ascii="宋体" w:hAnsi="宋体" w:eastAsia="宋体" w:cs="宋体"/>
                <w:spacing w:val="15"/>
                <w:sz w:val="11"/>
                <w:szCs w:val="11"/>
                <w:u w:val="single" w:color="auto"/>
              </w:rPr>
              <w:t>。</w:t>
            </w:r>
          </w:p>
          <w:p w14:paraId="0A591645">
            <w:pPr>
              <w:spacing w:line="302" w:lineRule="auto"/>
              <w:ind w:left="99" w:right="208" w:firstLine="253"/>
              <w:rPr>
                <w:rFonts w:ascii="宋体" w:hAnsi="宋体" w:eastAsia="宋体" w:cs="宋体"/>
                <w:sz w:val="11"/>
                <w:szCs w:val="11"/>
              </w:rPr>
            </w:pPr>
            <w:r>
              <w:rPr>
                <w:rFonts w:ascii="宋体" w:hAnsi="宋体" w:eastAsia="宋体" w:cs="宋体"/>
                <w:spacing w:val="8"/>
                <w:sz w:val="11"/>
                <w:szCs w:val="11"/>
              </w:rPr>
              <w:t>交易中心敬告各意向投资人，应当根据自身的经</w:t>
            </w:r>
            <w:r>
              <w:rPr>
                <w:rFonts w:ascii="宋体" w:hAnsi="宋体" w:eastAsia="宋体" w:cs="宋体"/>
                <w:spacing w:val="7"/>
                <w:sz w:val="11"/>
                <w:szCs w:val="11"/>
              </w:rPr>
              <w:t>济条件、心理及风险承受能力谨慎、理性参与交易，树立正确投资理念，确保资金安全。</w:t>
            </w:r>
            <w:r>
              <w:rPr>
                <w:rFonts w:ascii="宋体" w:hAnsi="宋体" w:eastAsia="宋体" w:cs="宋体"/>
                <w:spacing w:val="7"/>
                <w:sz w:val="11"/>
                <w:szCs w:val="11"/>
                <w:u w:val="single" w:color="auto"/>
              </w:rPr>
              <w:t>本风险提</w:t>
            </w:r>
            <w:r>
              <w:rPr>
                <w:rFonts w:ascii="宋体" w:hAnsi="宋体" w:eastAsia="宋体" w:cs="宋体"/>
                <w:spacing w:val="15"/>
                <w:sz w:val="11"/>
                <w:szCs w:val="11"/>
                <w:u w:val="single" w:color="auto"/>
              </w:rPr>
              <w:t>示书并不能揭示参与交易中心各项交易活动的全部风险及情形，意向投资人务必对此有清醒认识，</w:t>
            </w:r>
            <w:r>
              <w:rPr>
                <w:rFonts w:ascii="宋体" w:hAnsi="宋体" w:eastAsia="宋体" w:cs="宋体"/>
                <w:spacing w:val="-30"/>
                <w:sz w:val="11"/>
                <w:szCs w:val="11"/>
                <w:u w:val="single" w:color="auto"/>
              </w:rPr>
              <w:t xml:space="preserve"> </w:t>
            </w:r>
            <w:r>
              <w:rPr>
                <w:rFonts w:ascii="宋体" w:hAnsi="宋体" w:eastAsia="宋体" w:cs="宋体"/>
                <w:spacing w:val="15"/>
                <w:sz w:val="11"/>
                <w:szCs w:val="11"/>
                <w:u w:val="single" w:color="auto"/>
              </w:rPr>
              <w:t>审慎做出各项交易决策</w:t>
            </w:r>
            <w:r>
              <w:rPr>
                <w:rFonts w:ascii="宋体" w:hAnsi="宋体" w:eastAsia="宋体" w:cs="宋体"/>
                <w:spacing w:val="-32"/>
                <w:sz w:val="11"/>
                <w:szCs w:val="11"/>
                <w:u w:val="single" w:color="auto"/>
              </w:rPr>
              <w:t xml:space="preserve"> </w:t>
            </w:r>
            <w:r>
              <w:rPr>
                <w:rFonts w:ascii="宋体" w:hAnsi="宋体" w:eastAsia="宋体" w:cs="宋体"/>
                <w:spacing w:val="15"/>
                <w:sz w:val="11"/>
                <w:szCs w:val="11"/>
                <w:u w:val="single" w:color="auto"/>
              </w:rPr>
              <w:t>。</w:t>
            </w:r>
          </w:p>
          <w:p w14:paraId="12ECC9DB">
            <w:pPr>
              <w:spacing w:line="236" w:lineRule="auto"/>
              <w:ind w:left="352"/>
              <w:rPr>
                <w:rFonts w:ascii="宋体" w:hAnsi="宋体" w:eastAsia="宋体" w:cs="宋体"/>
                <w:sz w:val="11"/>
                <w:szCs w:val="11"/>
              </w:rPr>
            </w:pPr>
            <w:r>
              <w:rPr>
                <w:rFonts w:ascii="宋体" w:hAnsi="宋体" w:eastAsia="宋体" w:cs="宋体"/>
                <w:spacing w:val="6"/>
                <w:sz w:val="11"/>
                <w:szCs w:val="11"/>
              </w:rPr>
              <w:t>投资有风险，交易须谨慎！</w:t>
            </w:r>
          </w:p>
        </w:tc>
      </w:tr>
    </w:tbl>
    <w:p w14:paraId="6CC911F6">
      <w:pPr>
        <w:pStyle w:val="2"/>
        <w:rPr>
          <w:sz w:val="21"/>
        </w:rPr>
      </w:pPr>
    </w:p>
    <w:p w14:paraId="4F1327B6">
      <w:pPr>
        <w:rPr>
          <w:sz w:val="21"/>
          <w:szCs w:val="21"/>
        </w:rPr>
        <w:sectPr>
          <w:headerReference r:id="rId9" w:type="default"/>
          <w:footerReference r:id="rId10" w:type="default"/>
          <w:pgSz w:w="11900" w:h="16839"/>
          <w:pgMar w:top="515" w:right="475" w:bottom="489" w:left="484" w:header="269" w:footer="271" w:gutter="0"/>
          <w:cols w:space="720" w:num="1"/>
        </w:sectPr>
      </w:pPr>
    </w:p>
    <w:p w14:paraId="67396828">
      <w:pPr>
        <w:pStyle w:val="2"/>
        <w:spacing w:line="241" w:lineRule="auto"/>
        <w:rPr>
          <w:sz w:val="21"/>
        </w:rPr>
      </w:pPr>
    </w:p>
    <w:p w14:paraId="4F9A1998">
      <w:pPr>
        <w:pStyle w:val="2"/>
        <w:spacing w:line="241" w:lineRule="auto"/>
        <w:rPr>
          <w:sz w:val="21"/>
        </w:rPr>
      </w:pPr>
    </w:p>
    <w:p w14:paraId="6968AC32">
      <w:pPr>
        <w:pStyle w:val="2"/>
        <w:spacing w:line="241" w:lineRule="auto"/>
        <w:rPr>
          <w:sz w:val="21"/>
        </w:rPr>
      </w:pPr>
    </w:p>
    <w:p w14:paraId="4C177587">
      <w:pPr>
        <w:pStyle w:val="2"/>
        <w:spacing w:line="241" w:lineRule="auto"/>
        <w:rPr>
          <w:sz w:val="21"/>
        </w:rPr>
      </w:pPr>
    </w:p>
    <w:p w14:paraId="2667B084">
      <w:pPr>
        <w:pStyle w:val="2"/>
        <w:spacing w:line="241" w:lineRule="auto"/>
        <w:rPr>
          <w:sz w:val="21"/>
        </w:rPr>
      </w:pPr>
    </w:p>
    <w:p w14:paraId="1818AE8C">
      <w:pPr>
        <w:pStyle w:val="2"/>
        <w:spacing w:line="241" w:lineRule="auto"/>
        <w:rPr>
          <w:sz w:val="21"/>
        </w:rPr>
      </w:pPr>
    </w:p>
    <w:p w14:paraId="1AFCFB9B">
      <w:pPr>
        <w:pStyle w:val="2"/>
        <w:spacing w:line="241" w:lineRule="auto"/>
        <w:rPr>
          <w:sz w:val="21"/>
        </w:rPr>
      </w:pPr>
    </w:p>
    <w:p w14:paraId="088BADD2">
      <w:pPr>
        <w:pStyle w:val="2"/>
        <w:spacing w:line="241" w:lineRule="auto"/>
        <w:rPr>
          <w:sz w:val="21"/>
        </w:rPr>
      </w:pPr>
    </w:p>
    <w:p w14:paraId="38340BED">
      <w:pPr>
        <w:pStyle w:val="2"/>
        <w:spacing w:line="241" w:lineRule="auto"/>
        <w:rPr>
          <w:sz w:val="21"/>
        </w:rPr>
      </w:pPr>
    </w:p>
    <w:p w14:paraId="190ED70D">
      <w:pPr>
        <w:pStyle w:val="2"/>
        <w:spacing w:line="241" w:lineRule="auto"/>
        <w:rPr>
          <w:sz w:val="21"/>
        </w:rPr>
      </w:pPr>
    </w:p>
    <w:p w14:paraId="6D2F532C">
      <w:pPr>
        <w:pStyle w:val="2"/>
        <w:spacing w:line="241" w:lineRule="auto"/>
        <w:rPr>
          <w:sz w:val="21"/>
        </w:rPr>
      </w:pPr>
    </w:p>
    <w:p w14:paraId="583894E5">
      <w:pPr>
        <w:pStyle w:val="2"/>
        <w:spacing w:line="241" w:lineRule="auto"/>
        <w:rPr>
          <w:sz w:val="21"/>
        </w:rPr>
      </w:pPr>
    </w:p>
    <w:p w14:paraId="33896570">
      <w:pPr>
        <w:pStyle w:val="2"/>
        <w:spacing w:line="241" w:lineRule="auto"/>
        <w:rPr>
          <w:sz w:val="21"/>
        </w:rPr>
      </w:pPr>
    </w:p>
    <w:p w14:paraId="49C2645E">
      <w:pPr>
        <w:pStyle w:val="2"/>
        <w:spacing w:line="241" w:lineRule="auto"/>
        <w:rPr>
          <w:sz w:val="21"/>
        </w:rPr>
      </w:pPr>
    </w:p>
    <w:p w14:paraId="1A0A4C8C">
      <w:pPr>
        <w:pStyle w:val="2"/>
        <w:spacing w:line="241" w:lineRule="auto"/>
        <w:rPr>
          <w:sz w:val="21"/>
        </w:rPr>
      </w:pPr>
    </w:p>
    <w:p w14:paraId="27811ADD">
      <w:pPr>
        <w:pStyle w:val="2"/>
        <w:spacing w:line="241" w:lineRule="auto"/>
        <w:rPr>
          <w:sz w:val="21"/>
        </w:rPr>
      </w:pPr>
    </w:p>
    <w:p w14:paraId="55E5B03C">
      <w:pPr>
        <w:pStyle w:val="2"/>
        <w:spacing w:line="241" w:lineRule="auto"/>
        <w:rPr>
          <w:sz w:val="21"/>
        </w:rPr>
      </w:pPr>
    </w:p>
    <w:p w14:paraId="2D0FABB1">
      <w:pPr>
        <w:pStyle w:val="2"/>
        <w:spacing w:line="241" w:lineRule="auto"/>
        <w:rPr>
          <w:sz w:val="21"/>
        </w:rPr>
      </w:pPr>
    </w:p>
    <w:p w14:paraId="1CB2846F">
      <w:pPr>
        <w:pStyle w:val="2"/>
        <w:spacing w:line="241" w:lineRule="auto"/>
        <w:rPr>
          <w:sz w:val="21"/>
        </w:rPr>
      </w:pPr>
    </w:p>
    <w:p w14:paraId="52329831">
      <w:pPr>
        <w:pStyle w:val="2"/>
        <w:spacing w:line="241" w:lineRule="auto"/>
        <w:rPr>
          <w:sz w:val="21"/>
        </w:rPr>
      </w:pPr>
    </w:p>
    <w:p w14:paraId="21A401EA">
      <w:pPr>
        <w:pStyle w:val="2"/>
        <w:spacing w:line="241" w:lineRule="auto"/>
        <w:rPr>
          <w:sz w:val="21"/>
        </w:rPr>
      </w:pPr>
    </w:p>
    <w:p w14:paraId="427DB110">
      <w:pPr>
        <w:pStyle w:val="2"/>
        <w:spacing w:line="241" w:lineRule="auto"/>
        <w:rPr>
          <w:sz w:val="21"/>
        </w:rPr>
      </w:pPr>
    </w:p>
    <w:p w14:paraId="06530B62">
      <w:pPr>
        <w:pStyle w:val="2"/>
        <w:spacing w:line="241" w:lineRule="auto"/>
        <w:rPr>
          <w:sz w:val="21"/>
        </w:rPr>
      </w:pPr>
    </w:p>
    <w:p w14:paraId="236192CF">
      <w:pPr>
        <w:pStyle w:val="2"/>
        <w:spacing w:line="241" w:lineRule="auto"/>
        <w:rPr>
          <w:sz w:val="21"/>
        </w:rPr>
      </w:pPr>
    </w:p>
    <w:p w14:paraId="4844F5DE">
      <w:pPr>
        <w:pStyle w:val="2"/>
        <w:spacing w:line="241" w:lineRule="auto"/>
        <w:rPr>
          <w:sz w:val="21"/>
        </w:rPr>
      </w:pPr>
    </w:p>
    <w:p w14:paraId="7E72F509">
      <w:pPr>
        <w:pStyle w:val="2"/>
        <w:spacing w:line="241" w:lineRule="auto"/>
        <w:rPr>
          <w:sz w:val="21"/>
        </w:rPr>
      </w:pPr>
    </w:p>
    <w:p w14:paraId="2BCAF757">
      <w:pPr>
        <w:pStyle w:val="2"/>
        <w:spacing w:line="241" w:lineRule="auto"/>
        <w:rPr>
          <w:sz w:val="21"/>
        </w:rPr>
      </w:pPr>
    </w:p>
    <w:p w14:paraId="36D4ABE5">
      <w:pPr>
        <w:pStyle w:val="2"/>
        <w:spacing w:line="241" w:lineRule="auto"/>
        <w:rPr>
          <w:sz w:val="21"/>
        </w:rPr>
      </w:pPr>
    </w:p>
    <w:p w14:paraId="50124350">
      <w:pPr>
        <w:pStyle w:val="2"/>
        <w:spacing w:line="241" w:lineRule="auto"/>
        <w:rPr>
          <w:sz w:val="21"/>
        </w:rPr>
      </w:pPr>
    </w:p>
    <w:p w14:paraId="7A162B47">
      <w:pPr>
        <w:pStyle w:val="2"/>
        <w:spacing w:line="241" w:lineRule="auto"/>
        <w:rPr>
          <w:sz w:val="21"/>
        </w:rPr>
      </w:pPr>
    </w:p>
    <w:p w14:paraId="78A2371D">
      <w:pPr>
        <w:pStyle w:val="2"/>
        <w:spacing w:line="241" w:lineRule="auto"/>
        <w:rPr>
          <w:sz w:val="21"/>
        </w:rPr>
      </w:pPr>
    </w:p>
    <w:p w14:paraId="74318A60">
      <w:pPr>
        <w:pStyle w:val="2"/>
        <w:spacing w:line="241" w:lineRule="auto"/>
        <w:rPr>
          <w:sz w:val="21"/>
        </w:rPr>
      </w:pPr>
    </w:p>
    <w:p w14:paraId="76ECACDD">
      <w:pPr>
        <w:pStyle w:val="2"/>
        <w:spacing w:line="241" w:lineRule="auto"/>
        <w:rPr>
          <w:sz w:val="21"/>
        </w:rPr>
      </w:pPr>
    </w:p>
    <w:p w14:paraId="246469C8">
      <w:pPr>
        <w:pStyle w:val="2"/>
        <w:spacing w:line="241" w:lineRule="auto"/>
        <w:rPr>
          <w:sz w:val="21"/>
        </w:rPr>
      </w:pPr>
    </w:p>
    <w:p w14:paraId="794428BE">
      <w:pPr>
        <w:pStyle w:val="2"/>
        <w:spacing w:line="241" w:lineRule="auto"/>
        <w:rPr>
          <w:sz w:val="21"/>
        </w:rPr>
      </w:pPr>
    </w:p>
    <w:p w14:paraId="3A728F00">
      <w:pPr>
        <w:pStyle w:val="2"/>
        <w:spacing w:line="241" w:lineRule="auto"/>
        <w:rPr>
          <w:sz w:val="21"/>
        </w:rPr>
      </w:pPr>
    </w:p>
    <w:p w14:paraId="3F545FC0">
      <w:pPr>
        <w:pStyle w:val="2"/>
        <w:spacing w:line="241" w:lineRule="auto"/>
        <w:rPr>
          <w:sz w:val="21"/>
        </w:rPr>
      </w:pPr>
    </w:p>
    <w:p w14:paraId="281C0295">
      <w:pPr>
        <w:pStyle w:val="2"/>
        <w:spacing w:line="242" w:lineRule="auto"/>
        <w:rPr>
          <w:sz w:val="21"/>
        </w:rPr>
      </w:pPr>
    </w:p>
    <w:p w14:paraId="3A2F9CAA">
      <w:pPr>
        <w:pStyle w:val="2"/>
        <w:spacing w:line="242" w:lineRule="auto"/>
        <w:rPr>
          <w:sz w:val="21"/>
        </w:rPr>
      </w:pPr>
    </w:p>
    <w:p w14:paraId="2878CFCB">
      <w:pPr>
        <w:pStyle w:val="2"/>
        <w:spacing w:line="242" w:lineRule="auto"/>
        <w:rPr>
          <w:sz w:val="21"/>
        </w:rPr>
      </w:pPr>
    </w:p>
    <w:p w14:paraId="75DF09A9">
      <w:pPr>
        <w:pStyle w:val="2"/>
        <w:spacing w:line="242" w:lineRule="auto"/>
        <w:rPr>
          <w:sz w:val="21"/>
        </w:rPr>
      </w:pPr>
    </w:p>
    <w:p w14:paraId="22BE5AAD">
      <w:pPr>
        <w:pStyle w:val="2"/>
        <w:spacing w:line="242" w:lineRule="auto"/>
        <w:rPr>
          <w:sz w:val="21"/>
        </w:rPr>
      </w:pPr>
    </w:p>
    <w:p w14:paraId="4EAD3C87">
      <w:pPr>
        <w:pStyle w:val="2"/>
        <w:spacing w:line="242" w:lineRule="auto"/>
        <w:rPr>
          <w:sz w:val="21"/>
        </w:rPr>
      </w:pPr>
    </w:p>
    <w:p w14:paraId="508AC30B">
      <w:pPr>
        <w:pStyle w:val="2"/>
        <w:spacing w:line="242" w:lineRule="auto"/>
        <w:rPr>
          <w:sz w:val="21"/>
        </w:rPr>
      </w:pPr>
    </w:p>
    <w:p w14:paraId="21089757">
      <w:pPr>
        <w:pStyle w:val="2"/>
        <w:spacing w:line="242" w:lineRule="auto"/>
        <w:rPr>
          <w:sz w:val="21"/>
        </w:rPr>
      </w:pPr>
    </w:p>
    <w:p w14:paraId="4D62A7BF">
      <w:pPr>
        <w:pStyle w:val="2"/>
        <w:spacing w:line="242" w:lineRule="auto"/>
        <w:rPr>
          <w:sz w:val="21"/>
        </w:rPr>
      </w:pPr>
    </w:p>
    <w:p w14:paraId="02A7C423">
      <w:pPr>
        <w:pStyle w:val="2"/>
        <w:spacing w:line="242" w:lineRule="auto"/>
        <w:rPr>
          <w:sz w:val="21"/>
        </w:rPr>
      </w:pPr>
    </w:p>
    <w:p w14:paraId="70358DA5">
      <w:pPr>
        <w:pStyle w:val="2"/>
        <w:spacing w:line="242" w:lineRule="auto"/>
        <w:rPr>
          <w:sz w:val="21"/>
        </w:rPr>
      </w:pPr>
    </w:p>
    <w:p w14:paraId="0CD5DA04">
      <w:pPr>
        <w:pStyle w:val="2"/>
        <w:spacing w:line="242" w:lineRule="auto"/>
        <w:rPr>
          <w:sz w:val="21"/>
        </w:rPr>
      </w:pPr>
    </w:p>
    <w:p w14:paraId="02586BC3">
      <w:pPr>
        <w:pStyle w:val="2"/>
        <w:spacing w:line="242" w:lineRule="auto"/>
        <w:rPr>
          <w:sz w:val="21"/>
        </w:rPr>
      </w:pPr>
    </w:p>
    <w:p w14:paraId="0C544F6C">
      <w:pPr>
        <w:pStyle w:val="2"/>
        <w:spacing w:line="242" w:lineRule="auto"/>
        <w:rPr>
          <w:sz w:val="21"/>
        </w:rPr>
      </w:pPr>
    </w:p>
    <w:p w14:paraId="67E09789">
      <w:pPr>
        <w:pStyle w:val="2"/>
        <w:spacing w:line="242" w:lineRule="auto"/>
        <w:rPr>
          <w:sz w:val="21"/>
        </w:rPr>
      </w:pPr>
    </w:p>
    <w:p w14:paraId="687BDE02">
      <w:pPr>
        <w:pStyle w:val="2"/>
        <w:spacing w:line="242" w:lineRule="auto"/>
        <w:rPr>
          <w:sz w:val="21"/>
        </w:rPr>
      </w:pPr>
    </w:p>
    <w:p w14:paraId="358AC7B1">
      <w:pPr>
        <w:pStyle w:val="2"/>
        <w:spacing w:line="242" w:lineRule="auto"/>
        <w:rPr>
          <w:sz w:val="21"/>
        </w:rPr>
      </w:pPr>
    </w:p>
    <w:p w14:paraId="7B6AF391">
      <w:pPr>
        <w:pStyle w:val="2"/>
        <w:spacing w:line="242" w:lineRule="auto"/>
        <w:rPr>
          <w:sz w:val="21"/>
        </w:rPr>
      </w:pPr>
    </w:p>
    <w:p w14:paraId="311F4FED">
      <w:pPr>
        <w:pStyle w:val="2"/>
        <w:spacing w:line="242" w:lineRule="auto"/>
        <w:rPr>
          <w:sz w:val="21"/>
        </w:rPr>
      </w:pPr>
    </w:p>
    <w:p w14:paraId="264E41BE">
      <w:pPr>
        <w:pStyle w:val="2"/>
        <w:spacing w:line="242" w:lineRule="auto"/>
        <w:rPr>
          <w:sz w:val="21"/>
        </w:rPr>
      </w:pPr>
    </w:p>
    <w:p w14:paraId="22021B02">
      <w:pPr>
        <w:pStyle w:val="2"/>
        <w:spacing w:line="242" w:lineRule="auto"/>
        <w:rPr>
          <w:sz w:val="21"/>
        </w:rPr>
      </w:pPr>
    </w:p>
    <w:p w14:paraId="7604F6B7">
      <w:pPr>
        <w:pStyle w:val="2"/>
        <w:spacing w:line="242" w:lineRule="auto"/>
        <w:rPr>
          <w:sz w:val="21"/>
        </w:rPr>
      </w:pPr>
    </w:p>
    <w:p w14:paraId="64B983D2">
      <w:pPr>
        <w:pStyle w:val="2"/>
        <w:spacing w:line="242" w:lineRule="auto"/>
        <w:rPr>
          <w:sz w:val="21"/>
        </w:rPr>
      </w:pPr>
    </w:p>
    <w:p w14:paraId="67F3B6BF">
      <w:pPr>
        <w:pStyle w:val="2"/>
        <w:spacing w:line="242" w:lineRule="auto"/>
        <w:rPr>
          <w:sz w:val="21"/>
        </w:rPr>
      </w:pPr>
    </w:p>
    <w:p w14:paraId="395D51B5">
      <w:pPr>
        <w:pStyle w:val="2"/>
        <w:spacing w:line="242" w:lineRule="auto"/>
        <w:rPr>
          <w:sz w:val="21"/>
        </w:rPr>
      </w:pPr>
    </w:p>
    <w:p w14:paraId="6D71006F">
      <w:pPr>
        <w:pStyle w:val="2"/>
        <w:spacing w:line="242" w:lineRule="auto"/>
        <w:rPr>
          <w:sz w:val="21"/>
        </w:rPr>
      </w:pPr>
    </w:p>
    <w:p w14:paraId="32544E80">
      <w:pPr>
        <w:pStyle w:val="2"/>
        <w:spacing w:line="242" w:lineRule="auto"/>
        <w:rPr>
          <w:sz w:val="21"/>
        </w:rPr>
      </w:pPr>
    </w:p>
    <w:p w14:paraId="0FF03FD5">
      <w:pPr>
        <w:pStyle w:val="2"/>
        <w:spacing w:line="242" w:lineRule="auto"/>
        <w:rPr>
          <w:sz w:val="21"/>
        </w:rPr>
      </w:pPr>
    </w:p>
    <w:p w14:paraId="3B286043">
      <w:pPr>
        <w:pStyle w:val="2"/>
        <w:spacing w:before="43" w:line="208" w:lineRule="exact"/>
        <w:jc w:val="right"/>
      </w:pPr>
      <w:r>
        <w:rPr>
          <w:spacing w:val="1"/>
          <w:position w:val="2"/>
        </w:rPr>
        <w:t xml:space="preserve">                                 </w:t>
      </w:r>
      <w:r>
        <w:rPr>
          <w:position w:val="2"/>
        </w:rPr>
        <w:t xml:space="preserve">                               </w:t>
      </w:r>
      <w:r>
        <w:rPr>
          <w:spacing w:val="14"/>
          <w:position w:val="2"/>
        </w:rPr>
        <w:t>6/6</w:t>
      </w:r>
    </w:p>
    <w:sectPr>
      <w:footerReference r:id="rId11" w:type="default"/>
      <w:pgSz w:w="11900" w:h="16839"/>
      <w:pgMar w:top="515" w:right="475" w:bottom="271" w:left="484" w:header="269"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1036">
    <w:pPr>
      <w:pStyle w:val="2"/>
      <w:spacing w:line="207" w:lineRule="exact"/>
      <w:jc w:val="right"/>
    </w:pPr>
    <w:r>
      <w:rPr>
        <w:spacing w:val="1"/>
        <w:position w:val="2"/>
      </w:rPr>
      <w:t xml:space="preserve">                             </w:t>
    </w:r>
    <w:r>
      <w:rPr>
        <w:position w:val="2"/>
      </w:rPr>
      <w:t xml:space="preserve">                               </w:t>
    </w:r>
    <w:r>
      <w:rPr>
        <w:spacing w:val="14"/>
        <w:position w:val="2"/>
      </w:rPr>
      <w:t>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AF07">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B0AF6">
    <w:pPr>
      <w:pStyle w:val="2"/>
      <w:spacing w:before="14" w:line="207" w:lineRule="auto"/>
      <w:rPr>
        <w:rFonts w:ascii="微软雅黑" w:hAnsi="微软雅黑" w:eastAsia="微软雅黑" w:cs="微软雅黑"/>
      </w:rP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114EB">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C6FA">
    <w:pPr>
      <w:pStyle w:val="2"/>
      <w:spacing w:before="14" w:line="207" w:lineRule="auto"/>
      <w:rPr>
        <w:rFonts w:ascii="微软雅黑" w:hAnsi="微软雅黑" w:eastAsia="微软雅黑" w:cs="微软雅黑"/>
      </w:rP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AA9A5">
    <w:pPr>
      <w:pStyle w:val="2"/>
      <w:spacing w:before="14" w:line="207" w:lineRule="auto"/>
      <w:rPr>
        <w:rFonts w:ascii="微软雅黑" w:hAnsi="微软雅黑" w:eastAsia="微软雅黑" w:cs="微软雅黑"/>
      </w:rPr>
    </w:pPr>
    <w:r>
      <w:drawing>
        <wp:anchor distT="0" distB="0" distL="0" distR="0" simplePos="0" relativeHeight="251659264" behindDoc="0" locked="0" layoutInCell="0" allowOverlap="1">
          <wp:simplePos x="0" y="0"/>
          <wp:positionH relativeFrom="page">
            <wp:posOffset>1219200</wp:posOffset>
          </wp:positionH>
          <wp:positionV relativeFrom="page">
            <wp:posOffset>361950</wp:posOffset>
          </wp:positionV>
          <wp:extent cx="5132070" cy="997331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5132070" cy="9973121"/>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1A7C2">
    <w:pPr>
      <w:pStyle w:val="2"/>
      <w:spacing w:before="14" w:line="207" w:lineRule="auto"/>
      <w:rPr>
        <w:rFonts w:ascii="微软雅黑" w:hAnsi="微软雅黑" w:eastAsia="微软雅黑" w:cs="微软雅黑"/>
      </w:rP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AF1302"/>
    <w:rsid w:val="02217FDE"/>
    <w:rsid w:val="0A3867FB"/>
    <w:rsid w:val="0F6F7F34"/>
    <w:rsid w:val="11F76665"/>
    <w:rsid w:val="146B333A"/>
    <w:rsid w:val="19CE23A1"/>
    <w:rsid w:val="1EB83620"/>
    <w:rsid w:val="20670E5A"/>
    <w:rsid w:val="22996E2A"/>
    <w:rsid w:val="23C80844"/>
    <w:rsid w:val="29345F99"/>
    <w:rsid w:val="29725E96"/>
    <w:rsid w:val="2C1D0F66"/>
    <w:rsid w:val="2DB257D9"/>
    <w:rsid w:val="2EAF13A5"/>
    <w:rsid w:val="2F6C1E8E"/>
    <w:rsid w:val="31077AEF"/>
    <w:rsid w:val="39857FA0"/>
    <w:rsid w:val="3CF950D8"/>
    <w:rsid w:val="3D6073A5"/>
    <w:rsid w:val="44E4041B"/>
    <w:rsid w:val="45256CF7"/>
    <w:rsid w:val="46F56910"/>
    <w:rsid w:val="4C235CCD"/>
    <w:rsid w:val="540B355F"/>
    <w:rsid w:val="549A0AF6"/>
    <w:rsid w:val="585A2A77"/>
    <w:rsid w:val="5CE2128D"/>
    <w:rsid w:val="649A40D7"/>
    <w:rsid w:val="69653029"/>
    <w:rsid w:val="7046768A"/>
    <w:rsid w:val="7431628D"/>
    <w:rsid w:val="75EB0D5A"/>
    <w:rsid w:val="78BE4504"/>
    <w:rsid w:val="7E7A36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15"/>
      <w:szCs w:val="1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微软雅黑" w:hAnsi="微软雅黑" w:eastAsia="微软雅黑" w:cs="微软雅黑"/>
      <w:sz w:val="12"/>
      <w:szCs w:val="1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9788</Words>
  <Characters>10030</Characters>
  <TotalTime>31</TotalTime>
  <ScaleCrop>false</ScaleCrop>
  <LinksUpToDate>false</LinksUpToDate>
  <CharactersWithSpaces>10407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2026-08-10T09:19:00Z</dcterms:created>
  <dc:creator>Administrator</dc:creator>
  <cp:lastModifiedBy>张余忠</cp:lastModifiedBy>
  <dcterms:modified xsi:type="dcterms:W3CDTF">2026-08-12T01:06:21Z</dcterms:modified>
  <dc:title>公告预览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2026-08-10T17:20:06Z</vt:filetime>
  </property>
  <property fmtid="{D5CDD505-2E9C-101B-9397-08002B2CF9AE}" pid="4" name="KSOTemplateDocerSaveRecord">
    <vt:lpwstr>eyJoZGlkIjoiOWVlYjU1Yzc5YTAyYTUxNGI1Yjg1NGIzOTY2ZjNmZGMiLCJ1c2VySWQiOiIzMzY4ODQwMzYifQ==</vt:lpwstr>
  </property>
  <property fmtid="{D5CDD505-2E9C-101B-9397-08002B2CF9AE}" pid="5" name="KSOProductBuildVer">
    <vt:lpwstr>2052-12.1.0.26895</vt:lpwstr>
  </property>
  <property fmtid="{D5CDD505-2E9C-101B-9397-08002B2CF9AE}" pid="6" name="ICV">
    <vt:lpwstr>E03BEB0E145F470391260E2AA291E584_12</vt:lpwstr>
  </property>
</Properties>
</file>